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12026_100837.xml.htm"/>
      <w:bookmarkStart w:id="1" w:name="ksform408212026_1008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Roberts Eric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CALCIMEDICA,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505 COAST BLVD. S. #307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JOLLA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92037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CalciMedica, Inc.</w:t>
              </w:r>
            </w:hyperlink>
            <w:r>
              <w:rPr/>
              <w:t xml:space="preserve"> [ </w:t>
            </w:r>
            <w:r>
              <w:rPr>
                <w:rFonts w:ascii="Times;serif" w:hAnsi="Times;serif"/>
                <w:color w:val="0000FF"/>
                <w:sz w:val="24"/>
                <w:shd w:fill="FFFFFF" w:val="clear"/>
              </w:rPr>
              <w:t>CALC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0.8033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186,729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08/19/2026</w:t>
            </w: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12/25/2027</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186,729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186,729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186,729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08/19/2026</w:t>
            </w: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06/25/2031</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186,729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186,729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were acquired from the Issuer pursuant to a Securities Purchase Agreement dated June 23, 2026, with a closing date of June 25, 2026. The Securities Purchase Agreement and the issuance of the securities thereunder was approved by an independent committee of the Issuer's Board of Directors.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warrant may be exercised on or after August 19, 2026, and on or prior to the earlier of (i) December 25, 2027 and (ii) thirty (30) days following the Issuer's public disclosure of the clearance of its Investigational New Drug Application by the U.S. Food and Drug Administration for CM5480; provided, however, that the holder will be prohibited, subject to certain exceptions, from exercising such warrant for shares of common stock of the Issuer to the extent that immediately prior to or after giving effect to such exercise, the holder, together with its affiliates and other attribution parties, would own more than 19.99% of the total number of shares of common stock of the Issuer then issued and outstanding, which percentage may be changed at the holder's election to a lower percentage at any time or to a higher percentage upon 61 days' notice to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warrant may be exercised on or after August 19, 2026 and on or prior to June 25, 2031; provided, however, that the holder will be prohibited, subject to certain exceptions, from exercising such warrant for shares of common stock of the Issuer to the extent that immediately prior to or after giving effect to such exercise, the holder, together with its affiliates and other attribution parties, would own more than 19.99% of the total number of shares of common stock of the Issuer then issued and outstanding, which percentage may be changed at the holder's election to a lower percentage at any time or to a higher percentage upon 61 days' notice to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Dunn,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6244" TargetMode="External"/><Relationship Id="rId5" Type="http://schemas.openxmlformats.org/officeDocument/2006/relationships/hyperlink" Target="http://www.sec.gov/cgi-bin/browse-edgar?action=getcompany&amp;CIK=0001534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899</Words>
  <Characters>4753</Characters>
  <CharactersWithSpaces>5566</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