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180340</wp:posOffset>
            </wp:positionV>
            <wp:extent cx="176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340"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100330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Pursuant to Section 13 or 15(d)</w:t>
      </w:r>
    </w:p>
    <w:p>
      <w:pPr>
        <w:jc w:val="center"/>
        <w:ind w:right="-15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6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97790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Graybug Vision, Inc.</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88900</wp:posOffset>
            </wp:positionV>
            <wp:extent cx="1765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940" w:type="dxa"/>
        <w:tblCellMar>
          <w:top w:w="0" w:type="dxa"/>
          <w:left w:w="0" w:type="dxa"/>
          <w:bottom w:w="0" w:type="dxa"/>
          <w:right w:w="0" w:type="dxa"/>
        </w:tblCellMar>
      </w:tblPr>
      <w:tr>
        <w:trPr>
          <w:trHeight w:val="194"/>
        </w:trPr>
        <w:tc>
          <w:tcPr>
            <w:tcW w:w="4200" w:type="dxa"/>
            <w:vAlign w:val="bottom"/>
          </w:tcPr>
          <w:p>
            <w:pPr>
              <w:jc w:val="center"/>
              <w:ind w:right="2224"/>
              <w:spacing w:after="0"/>
              <w:rPr>
                <w:sz w:val="20"/>
                <w:szCs w:val="20"/>
                <w:color w:val="auto"/>
              </w:rPr>
            </w:pPr>
            <w:r>
              <w:rPr>
                <w:rFonts w:ascii="Arial" w:cs="Arial" w:eastAsia="Arial" w:hAnsi="Arial"/>
                <w:sz w:val="16"/>
                <w:szCs w:val="16"/>
                <w:b w:val="1"/>
                <w:bCs w:val="1"/>
                <w:color w:val="auto"/>
                <w:w w:val="93"/>
              </w:rPr>
              <w:t>Delaware</w:t>
            </w:r>
          </w:p>
        </w:tc>
        <w:tc>
          <w:tcPr>
            <w:tcW w:w="1640" w:type="dxa"/>
            <w:vAlign w:val="bottom"/>
          </w:tcPr>
          <w:p>
            <w:pPr>
              <w:jc w:val="center"/>
              <w:ind w:right="585"/>
              <w:spacing w:after="0"/>
              <w:rPr>
                <w:sz w:val="20"/>
                <w:szCs w:val="20"/>
                <w:color w:val="auto"/>
              </w:rPr>
            </w:pPr>
            <w:r>
              <w:rPr>
                <w:rFonts w:ascii="Arial" w:cs="Arial" w:eastAsia="Arial" w:hAnsi="Arial"/>
                <w:sz w:val="16"/>
                <w:szCs w:val="16"/>
                <w:b w:val="1"/>
                <w:bCs w:val="1"/>
                <w:color w:val="auto"/>
                <w:w w:val="91"/>
              </w:rPr>
              <w:t>001-39538</w:t>
            </w:r>
          </w:p>
        </w:tc>
        <w:tc>
          <w:tcPr>
            <w:tcW w:w="3180" w:type="dxa"/>
            <w:vAlign w:val="bottom"/>
          </w:tcPr>
          <w:p>
            <w:pPr>
              <w:jc w:val="center"/>
              <w:ind w:left="1923"/>
              <w:spacing w:after="0"/>
              <w:rPr>
                <w:sz w:val="20"/>
                <w:szCs w:val="20"/>
                <w:color w:val="auto"/>
              </w:rPr>
            </w:pPr>
            <w:r>
              <w:rPr>
                <w:rFonts w:ascii="Arial" w:cs="Arial" w:eastAsia="Arial" w:hAnsi="Arial"/>
                <w:sz w:val="16"/>
                <w:szCs w:val="16"/>
                <w:b w:val="1"/>
                <w:bCs w:val="1"/>
                <w:color w:val="auto"/>
                <w:w w:val="91"/>
              </w:rPr>
              <w:t>45-2120079</w:t>
            </w:r>
          </w:p>
        </w:tc>
        <w:tc>
          <w:tcPr>
            <w:tcW w:w="0" w:type="dxa"/>
            <w:vAlign w:val="bottom"/>
          </w:tcPr>
          <w:p>
            <w:pPr>
              <w:spacing w:after="0"/>
              <w:rPr>
                <w:sz w:val="1"/>
                <w:szCs w:val="1"/>
                <w:color w:val="auto"/>
              </w:rPr>
            </w:pPr>
          </w:p>
        </w:tc>
      </w:tr>
      <w:tr>
        <w:trPr>
          <w:trHeight w:val="171"/>
        </w:trPr>
        <w:tc>
          <w:tcPr>
            <w:tcW w:w="4200" w:type="dxa"/>
            <w:vAlign w:val="bottom"/>
          </w:tcPr>
          <w:p>
            <w:pPr>
              <w:jc w:val="center"/>
              <w:ind w:right="2244"/>
              <w:spacing w:after="0"/>
              <w:rPr>
                <w:sz w:val="20"/>
                <w:szCs w:val="20"/>
                <w:color w:val="auto"/>
              </w:rPr>
            </w:pPr>
            <w:r>
              <w:rPr>
                <w:rFonts w:ascii="Arial" w:cs="Arial" w:eastAsia="Arial" w:hAnsi="Arial"/>
                <w:sz w:val="14"/>
                <w:szCs w:val="14"/>
                <w:b w:val="1"/>
                <w:bCs w:val="1"/>
                <w:color w:val="auto"/>
                <w:w w:val="93"/>
              </w:rPr>
              <w:t>(State or other jurisdiction of</w:t>
            </w:r>
          </w:p>
        </w:tc>
        <w:tc>
          <w:tcPr>
            <w:tcW w:w="1640" w:type="dxa"/>
            <w:vAlign w:val="bottom"/>
          </w:tcPr>
          <w:p>
            <w:pPr>
              <w:jc w:val="center"/>
              <w:ind w:right="585"/>
              <w:spacing w:after="0"/>
              <w:rPr>
                <w:sz w:val="20"/>
                <w:szCs w:val="20"/>
                <w:color w:val="auto"/>
              </w:rPr>
            </w:pPr>
            <w:r>
              <w:rPr>
                <w:rFonts w:ascii="Arial" w:cs="Arial" w:eastAsia="Arial" w:hAnsi="Arial"/>
                <w:sz w:val="14"/>
                <w:szCs w:val="14"/>
                <w:b w:val="1"/>
                <w:bCs w:val="1"/>
                <w:color w:val="auto"/>
                <w:w w:val="92"/>
              </w:rPr>
              <w:t>(Commission</w:t>
            </w:r>
          </w:p>
        </w:tc>
        <w:tc>
          <w:tcPr>
            <w:tcW w:w="3180" w:type="dxa"/>
            <w:vAlign w:val="bottom"/>
          </w:tcPr>
          <w:p>
            <w:pPr>
              <w:jc w:val="center"/>
              <w:ind w:left="1923"/>
              <w:spacing w:after="0" w:line="171" w:lineRule="exact"/>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175"/>
        </w:trPr>
        <w:tc>
          <w:tcPr>
            <w:tcW w:w="4200" w:type="dxa"/>
            <w:vAlign w:val="bottom"/>
          </w:tcPr>
          <w:p>
            <w:pPr>
              <w:jc w:val="center"/>
              <w:ind w:right="2244"/>
              <w:spacing w:after="0"/>
              <w:rPr>
                <w:sz w:val="20"/>
                <w:szCs w:val="20"/>
                <w:color w:val="auto"/>
              </w:rPr>
            </w:pPr>
            <w:r>
              <w:rPr>
                <w:rFonts w:ascii="Arial" w:cs="Arial" w:eastAsia="Arial" w:hAnsi="Arial"/>
                <w:sz w:val="14"/>
                <w:szCs w:val="14"/>
                <w:b w:val="1"/>
                <w:bCs w:val="1"/>
                <w:color w:val="auto"/>
                <w:w w:val="94"/>
              </w:rPr>
              <w:t>incorporation or organization)</w:t>
            </w:r>
          </w:p>
        </w:tc>
        <w:tc>
          <w:tcPr>
            <w:tcW w:w="1640" w:type="dxa"/>
            <w:vAlign w:val="bottom"/>
          </w:tcPr>
          <w:p>
            <w:pPr>
              <w:jc w:val="center"/>
              <w:ind w:right="585"/>
              <w:spacing w:after="0"/>
              <w:rPr>
                <w:sz w:val="20"/>
                <w:szCs w:val="20"/>
                <w:color w:val="auto"/>
              </w:rPr>
            </w:pPr>
            <w:r>
              <w:rPr>
                <w:rFonts w:ascii="Arial" w:cs="Arial" w:eastAsia="Arial" w:hAnsi="Arial"/>
                <w:sz w:val="14"/>
                <w:szCs w:val="14"/>
                <w:b w:val="1"/>
                <w:bCs w:val="1"/>
                <w:color w:val="auto"/>
                <w:w w:val="95"/>
              </w:rPr>
              <w:t>File Number)</w:t>
            </w:r>
          </w:p>
        </w:tc>
        <w:tc>
          <w:tcPr>
            <w:tcW w:w="3180" w:type="dxa"/>
            <w:vAlign w:val="bottom"/>
            <w:vMerge w:val="restart"/>
          </w:tcPr>
          <w:p>
            <w:pPr>
              <w:jc w:val="center"/>
              <w:ind w:left="192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2"/>
        </w:trPr>
        <w:tc>
          <w:tcPr>
            <w:tcW w:w="4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4"/>
        </w:trPr>
        <w:tc>
          <w:tcPr>
            <w:tcW w:w="4200" w:type="dxa"/>
            <w:vAlign w:val="bottom"/>
          </w:tcPr>
          <w:p>
            <w:pPr>
              <w:jc w:val="center"/>
              <w:ind w:left="1164"/>
              <w:spacing w:after="0"/>
              <w:rPr>
                <w:sz w:val="20"/>
                <w:szCs w:val="20"/>
                <w:color w:val="auto"/>
              </w:rPr>
            </w:pPr>
            <w:r>
              <w:rPr>
                <w:rFonts w:ascii="Arial" w:cs="Arial" w:eastAsia="Arial" w:hAnsi="Arial"/>
                <w:sz w:val="16"/>
                <w:szCs w:val="16"/>
                <w:b w:val="1"/>
                <w:bCs w:val="1"/>
                <w:color w:val="auto"/>
                <w:w w:val="90"/>
              </w:rPr>
              <w:t>203 Redwood Shores Parkway, Suite 620</w:t>
            </w:r>
          </w:p>
        </w:tc>
        <w:tc>
          <w:tcPr>
            <w:tcW w:w="1640" w:type="dxa"/>
            <w:vAlign w:val="bottom"/>
          </w:tcPr>
          <w:p>
            <w:pPr>
              <w:spacing w:after="0"/>
              <w:rPr>
                <w:sz w:val="24"/>
                <w:szCs w:val="24"/>
                <w:color w:val="auto"/>
              </w:rPr>
            </w:pPr>
          </w:p>
        </w:tc>
        <w:tc>
          <w:tcPr>
            <w:tcW w:w="3180" w:type="dxa"/>
            <w:vAlign w:val="bottom"/>
          </w:tcPr>
          <w:p>
            <w:pPr>
              <w:jc w:val="right"/>
              <w:ind w:right="1823"/>
              <w:spacing w:after="0"/>
              <w:rPr>
                <w:sz w:val="20"/>
                <w:szCs w:val="20"/>
                <w:color w:val="auto"/>
              </w:rPr>
            </w:pPr>
            <w:r>
              <w:rPr>
                <w:rFonts w:ascii="Arial" w:cs="Arial" w:eastAsia="Arial" w:hAnsi="Arial"/>
                <w:sz w:val="16"/>
                <w:szCs w:val="16"/>
                <w:b w:val="1"/>
                <w:bCs w:val="1"/>
                <w:color w:val="auto"/>
              </w:rPr>
              <w:t>94065</w:t>
            </w:r>
          </w:p>
        </w:tc>
        <w:tc>
          <w:tcPr>
            <w:tcW w:w="0" w:type="dxa"/>
            <w:vAlign w:val="bottom"/>
          </w:tcPr>
          <w:p>
            <w:pPr>
              <w:spacing w:after="0"/>
              <w:rPr>
                <w:sz w:val="1"/>
                <w:szCs w:val="1"/>
                <w:color w:val="auto"/>
              </w:rPr>
            </w:pPr>
          </w:p>
        </w:tc>
      </w:tr>
      <w:tr>
        <w:trPr>
          <w:trHeight w:val="212"/>
        </w:trPr>
        <w:tc>
          <w:tcPr>
            <w:tcW w:w="4200" w:type="dxa"/>
            <w:vAlign w:val="bottom"/>
          </w:tcPr>
          <w:p>
            <w:pPr>
              <w:jc w:val="center"/>
              <w:ind w:left="1164"/>
              <w:spacing w:after="0"/>
              <w:rPr>
                <w:sz w:val="20"/>
                <w:szCs w:val="20"/>
                <w:color w:val="auto"/>
              </w:rPr>
            </w:pPr>
            <w:r>
              <w:rPr>
                <w:rFonts w:ascii="Arial" w:cs="Arial" w:eastAsia="Arial" w:hAnsi="Arial"/>
                <w:sz w:val="16"/>
                <w:szCs w:val="16"/>
                <w:b w:val="1"/>
                <w:bCs w:val="1"/>
                <w:color w:val="auto"/>
                <w:w w:val="92"/>
              </w:rPr>
              <w:t>Redwood City, California</w:t>
            </w:r>
          </w:p>
        </w:tc>
        <w:tc>
          <w:tcPr>
            <w:tcW w:w="1640" w:type="dxa"/>
            <w:vAlign w:val="bottom"/>
          </w:tcPr>
          <w:p>
            <w:pPr>
              <w:spacing w:after="0"/>
              <w:rPr>
                <w:sz w:val="18"/>
                <w:szCs w:val="18"/>
                <w:color w:val="auto"/>
              </w:rPr>
            </w:pPr>
          </w:p>
        </w:tc>
        <w:tc>
          <w:tcPr>
            <w:tcW w:w="3180" w:type="dxa"/>
            <w:vAlign w:val="bottom"/>
          </w:tcPr>
          <w:p>
            <w:pPr>
              <w:jc w:val="center"/>
              <w:ind w:right="92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74"/>
        </w:trPr>
        <w:tc>
          <w:tcPr>
            <w:tcW w:w="4200" w:type="dxa"/>
            <w:vAlign w:val="bottom"/>
          </w:tcPr>
          <w:p>
            <w:pPr>
              <w:jc w:val="center"/>
              <w:ind w:left="1164"/>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1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ind w:left="3300"/>
        <w:spacing w:after="0" w:line="184" w:lineRule="exact"/>
        <w:rPr>
          <w:sz w:val="20"/>
          <w:szCs w:val="20"/>
          <w:color w:val="auto"/>
        </w:rPr>
      </w:pPr>
      <w:r>
        <w:rPr>
          <w:rFonts w:ascii="Arial" w:cs="Arial" w:eastAsia="Arial" w:hAnsi="Arial"/>
          <w:sz w:val="16"/>
          <w:szCs w:val="16"/>
          <w:b w:val="1"/>
          <w:bCs w:val="1"/>
          <w:color w:val="auto"/>
        </w:rPr>
        <w:t>Registrant’s telephone number, including area code: (650) 487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2800</w:t>
      </w:r>
    </w:p>
    <w:p>
      <w:pPr>
        <w:spacing w:after="0" w:line="100" w:lineRule="exact"/>
        <w:rPr>
          <w:sz w:val="24"/>
          <w:szCs w:val="24"/>
          <w:color w:val="auto"/>
        </w:rPr>
      </w:pPr>
    </w:p>
    <w:p>
      <w:pPr>
        <w:ind w:left="5100"/>
        <w:spacing w:after="0"/>
        <w:rPr>
          <w:sz w:val="20"/>
          <w:szCs w:val="20"/>
          <w:color w:val="auto"/>
        </w:rPr>
      </w:pPr>
      <w:r>
        <w:rPr>
          <w:rFonts w:ascii="Arial" w:cs="Arial" w:eastAsia="Arial" w:hAnsi="Arial"/>
          <w:sz w:val="16"/>
          <w:szCs w:val="16"/>
          <w:b w:val="1"/>
          <w:bCs w:val="1"/>
          <w:color w:val="auto"/>
        </w:rPr>
        <w:t>Not Applicable</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17" w:lineRule="exact"/>
        <w:rPr>
          <w:sz w:val="24"/>
          <w:szCs w:val="24"/>
          <w:color w:val="auto"/>
        </w:rPr>
      </w:pPr>
    </w:p>
    <w:p>
      <w:pPr>
        <w:jc w:val="center"/>
        <w:ind w:right="100"/>
        <w:spacing w:after="0" w:line="173" w:lineRule="exact"/>
        <w:rPr>
          <w:sz w:val="20"/>
          <w:szCs w:val="20"/>
          <w:color w:val="auto"/>
        </w:rPr>
      </w:pPr>
      <w:r>
        <w:rPr>
          <w:rFonts w:ascii="Arial" w:cs="Arial" w:eastAsia="Arial" w:hAnsi="Arial"/>
          <w:sz w:val="15"/>
          <w:szCs w:val="15"/>
          <w:color w:val="auto"/>
        </w:rPr>
        <w:t>Check the appropriate box below if the Form 8</w:t>
      </w:r>
      <w:r>
        <w:rPr>
          <w:rFonts w:ascii="MS PGothic" w:cs="MS PGothic" w:eastAsia="MS PGothic" w:hAnsi="MS PGothic"/>
          <w:sz w:val="15"/>
          <w:szCs w:val="15"/>
          <w:color w:val="auto"/>
        </w:rPr>
        <w:t>‑</w:t>
      </w:r>
      <w:r>
        <w:rPr>
          <w:rFonts w:ascii="Arial" w:cs="Arial" w:eastAsia="Arial" w:hAnsi="Arial"/>
          <w:sz w:val="15"/>
          <w:szCs w:val="15"/>
          <w:color w:val="auto"/>
        </w:rPr>
        <w:t>K filing is intended to simultaneously satisfy the filing obligation of the registrant under any of the following provisions:</w:t>
      </w:r>
    </w:p>
    <w:p>
      <w:pPr>
        <w:spacing w:after="0" w:line="98" w:lineRule="exact"/>
        <w:rPr>
          <w:sz w:val="24"/>
          <w:szCs w:val="24"/>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360" w:hanging="312"/>
        <w:spacing w:after="0" w:line="184" w:lineRule="exact"/>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w:t>
      </w:r>
      <w:r>
        <w:rPr>
          <w:rFonts w:ascii="MS PGothic" w:cs="MS PGothic" w:eastAsia="MS PGothic" w:hAnsi="MS PGothic"/>
          <w:sz w:val="16"/>
          <w:szCs w:val="16"/>
          <w:color w:val="auto"/>
        </w:rPr>
        <w:t>‑</w:t>
      </w:r>
      <w:r>
        <w:rPr>
          <w:rFonts w:ascii="Arial" w:cs="Arial" w:eastAsia="Arial" w:hAnsi="Arial"/>
          <w:sz w:val="16"/>
          <w:szCs w:val="16"/>
          <w:color w:val="auto"/>
        </w:rPr>
        <w:t>12 under the Exchange Act (17 CFR 240.14a</w:t>
      </w:r>
      <w:r>
        <w:rPr>
          <w:rFonts w:ascii="MS PGothic" w:cs="MS PGothic" w:eastAsia="MS PGothic" w:hAnsi="MS PGothic"/>
          <w:sz w:val="16"/>
          <w:szCs w:val="16"/>
          <w:color w:val="auto"/>
        </w:rPr>
        <w:t>‑</w:t>
      </w:r>
      <w:r>
        <w:rPr>
          <w:rFonts w:ascii="Arial" w:cs="Arial" w:eastAsia="Arial" w:hAnsi="Arial"/>
          <w:sz w:val="16"/>
          <w:szCs w:val="16"/>
          <w:color w:val="auto"/>
        </w:rPr>
        <w:t>12)</w:t>
      </w:r>
    </w:p>
    <w:p>
      <w:pPr>
        <w:spacing w:after="0" w:line="86" w:lineRule="exact"/>
        <w:rPr>
          <w:rFonts w:ascii="MS PGothic" w:cs="MS PGothic" w:eastAsia="MS PGothic" w:hAnsi="MS PGothic"/>
          <w:sz w:val="16"/>
          <w:szCs w:val="16"/>
          <w:color w:val="auto"/>
        </w:rPr>
      </w:pPr>
    </w:p>
    <w:p>
      <w:pPr>
        <w:ind w:left="360" w:hanging="312"/>
        <w:spacing w:after="0" w:line="184" w:lineRule="exact"/>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w:t>
      </w:r>
      <w:r>
        <w:rPr>
          <w:rFonts w:ascii="MS PGothic" w:cs="MS PGothic" w:eastAsia="MS PGothic" w:hAnsi="MS PGothic"/>
          <w:sz w:val="16"/>
          <w:szCs w:val="16"/>
          <w:color w:val="auto"/>
        </w:rPr>
        <w:t>‑</w:t>
      </w:r>
      <w:r>
        <w:rPr>
          <w:rFonts w:ascii="Arial" w:cs="Arial" w:eastAsia="Arial" w:hAnsi="Arial"/>
          <w:sz w:val="16"/>
          <w:szCs w:val="16"/>
          <w:color w:val="auto"/>
        </w:rPr>
        <w:t>2(b) under the Exchange Act (17 CFR 240.14d</w:t>
      </w:r>
      <w:r>
        <w:rPr>
          <w:rFonts w:ascii="MS PGothic" w:cs="MS PGothic" w:eastAsia="MS PGothic" w:hAnsi="MS PGothic"/>
          <w:sz w:val="16"/>
          <w:szCs w:val="16"/>
          <w:color w:val="auto"/>
        </w:rPr>
        <w:t>‑</w:t>
      </w:r>
      <w:r>
        <w:rPr>
          <w:rFonts w:ascii="Arial" w:cs="Arial" w:eastAsia="Arial" w:hAnsi="Arial"/>
          <w:sz w:val="16"/>
          <w:szCs w:val="16"/>
          <w:color w:val="auto"/>
        </w:rPr>
        <w:t>2(b))</w:t>
      </w:r>
    </w:p>
    <w:p>
      <w:pPr>
        <w:spacing w:after="0" w:line="86" w:lineRule="exact"/>
        <w:rPr>
          <w:rFonts w:ascii="MS PGothic" w:cs="MS PGothic" w:eastAsia="MS PGothic" w:hAnsi="MS PGothic"/>
          <w:sz w:val="16"/>
          <w:szCs w:val="16"/>
          <w:color w:val="auto"/>
        </w:rPr>
      </w:pPr>
    </w:p>
    <w:p>
      <w:pPr>
        <w:ind w:left="360" w:right="20" w:hanging="312"/>
        <w:spacing w:after="0" w:line="191" w:lineRule="exact"/>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w:t>
      </w:r>
      <w:r>
        <w:rPr>
          <w:rFonts w:ascii="MS PGothic" w:cs="MS PGothic" w:eastAsia="MS PGothic" w:hAnsi="MS PGothic"/>
          <w:sz w:val="16"/>
          <w:szCs w:val="16"/>
          <w:color w:val="auto"/>
        </w:rPr>
        <w:t>‑</w:t>
      </w:r>
      <w:r>
        <w:rPr>
          <w:rFonts w:ascii="Arial" w:cs="Arial" w:eastAsia="Arial" w:hAnsi="Arial"/>
          <w:sz w:val="16"/>
          <w:szCs w:val="16"/>
          <w:color w:val="auto"/>
        </w:rPr>
        <w:t>4(c) under the Exchange Act (17 CFR 240.13e</w:t>
      </w:r>
      <w:r>
        <w:rPr>
          <w:rFonts w:ascii="MS PGothic" w:cs="MS PGothic" w:eastAsia="MS PGothic" w:hAnsi="MS PGothic"/>
          <w:sz w:val="16"/>
          <w:szCs w:val="16"/>
          <w:color w:val="auto"/>
        </w:rPr>
        <w:t>‑</w:t>
      </w:r>
      <w:r>
        <w:rPr>
          <w:rFonts w:ascii="Arial" w:cs="Arial" w:eastAsia="Arial" w:hAnsi="Arial"/>
          <w:sz w:val="16"/>
          <w:szCs w:val="16"/>
          <w:color w:val="auto"/>
        </w:rPr>
        <w:t>4(c)) 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2220" w:type="dxa"/>
            <w:vAlign w:val="bottom"/>
          </w:tcPr>
          <w:p>
            <w:pPr>
              <w:ind w:left="880"/>
              <w:spacing w:after="0"/>
              <w:rPr>
                <w:sz w:val="20"/>
                <w:szCs w:val="20"/>
                <w:color w:val="auto"/>
              </w:rPr>
            </w:pPr>
            <w:r>
              <w:rPr>
                <w:rFonts w:ascii="Arial" w:cs="Arial" w:eastAsia="Arial" w:hAnsi="Arial"/>
                <w:sz w:val="13"/>
                <w:szCs w:val="13"/>
                <w:b w:val="1"/>
                <w:bCs w:val="1"/>
                <w:color w:val="auto"/>
              </w:rPr>
              <w:t>Trading</w:t>
            </w:r>
          </w:p>
        </w:tc>
        <w:tc>
          <w:tcPr>
            <w:tcW w:w="4260" w:type="dxa"/>
            <w:vAlign w:val="bottom"/>
          </w:tcPr>
          <w:p>
            <w:pPr>
              <w:spacing w:after="0"/>
              <w:rPr>
                <w:sz w:val="12"/>
                <w:szCs w:val="12"/>
                <w:color w:val="auto"/>
              </w:rPr>
            </w:pPr>
          </w:p>
        </w:tc>
      </w:tr>
      <w:tr>
        <w:trPr>
          <w:trHeight w:val="153"/>
        </w:trPr>
        <w:tc>
          <w:tcPr>
            <w:tcW w:w="460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Title of each class</w:t>
            </w:r>
          </w:p>
        </w:tc>
        <w:tc>
          <w:tcPr>
            <w:tcW w:w="222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Symbol(s)</w:t>
            </w:r>
          </w:p>
        </w:tc>
        <w:tc>
          <w:tcPr>
            <w:tcW w:w="426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200"/>
        </w:trPr>
        <w:tc>
          <w:tcPr>
            <w:tcW w:w="4600" w:type="dxa"/>
            <w:vAlign w:val="bottom"/>
          </w:tcPr>
          <w:p>
            <w:pPr>
              <w:ind w:left="860"/>
              <w:spacing w:after="0"/>
              <w:rPr>
                <w:sz w:val="20"/>
                <w:szCs w:val="20"/>
                <w:color w:val="auto"/>
              </w:rPr>
            </w:pPr>
            <w:r>
              <w:rPr>
                <w:rFonts w:ascii="Arial" w:cs="Arial" w:eastAsia="Arial" w:hAnsi="Arial"/>
                <w:sz w:val="16"/>
                <w:szCs w:val="16"/>
                <w:color w:val="auto"/>
              </w:rPr>
              <w:t>Common Stock, $0.0001 par value per share</w:t>
            </w:r>
          </w:p>
        </w:tc>
        <w:tc>
          <w:tcPr>
            <w:tcW w:w="2220" w:type="dxa"/>
            <w:vAlign w:val="bottom"/>
          </w:tcPr>
          <w:p>
            <w:pPr>
              <w:ind w:left="840"/>
              <w:spacing w:after="0"/>
              <w:rPr>
                <w:sz w:val="20"/>
                <w:szCs w:val="20"/>
                <w:color w:val="auto"/>
              </w:rPr>
            </w:pPr>
            <w:r>
              <w:rPr>
                <w:rFonts w:ascii="Arial" w:cs="Arial" w:eastAsia="Arial" w:hAnsi="Arial"/>
                <w:sz w:val="16"/>
                <w:szCs w:val="16"/>
                <w:color w:val="auto"/>
              </w:rPr>
              <w:t>GRAY</w:t>
            </w:r>
          </w:p>
        </w:tc>
        <w:tc>
          <w:tcPr>
            <w:tcW w:w="4260" w:type="dxa"/>
            <w:vAlign w:val="bottom"/>
          </w:tcPr>
          <w:p>
            <w:pPr>
              <w:jc w:val="center"/>
              <w:ind w:right="148"/>
              <w:spacing w:after="0"/>
              <w:rPr>
                <w:sz w:val="20"/>
                <w:szCs w:val="20"/>
                <w:color w:val="auto"/>
              </w:rPr>
            </w:pPr>
            <w:r>
              <w:rPr>
                <w:rFonts w:ascii="Arial" w:cs="Arial" w:eastAsia="Arial" w:hAnsi="Arial"/>
                <w:sz w:val="16"/>
                <w:szCs w:val="16"/>
                <w:color w:val="auto"/>
                <w:w w:val="92"/>
              </w:rPr>
              <w:t>The Nasdaq Global Market</w:t>
            </w:r>
          </w:p>
        </w:tc>
      </w:tr>
    </w:tbl>
    <w:p>
      <w:pPr>
        <w:spacing w:after="0" w:line="148" w:lineRule="exact"/>
        <w:rPr>
          <w:sz w:val="24"/>
          <w:szCs w:val="24"/>
          <w:color w:val="auto"/>
        </w:rPr>
      </w:pPr>
    </w:p>
    <w:p>
      <w:pPr>
        <w:ind w:left="20" w:right="300"/>
        <w:spacing w:after="0" w:line="204"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1" w:lineRule="exact"/>
        <w:rPr>
          <w:sz w:val="24"/>
          <w:szCs w:val="24"/>
          <w:color w:val="auto"/>
        </w:rPr>
      </w:pPr>
    </w:p>
    <w:p>
      <w:pPr>
        <w:ind w:left="88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0" w:lineRule="exact"/>
        <w:rPr>
          <w:sz w:val="24"/>
          <w:szCs w:val="24"/>
          <w:color w:val="auto"/>
        </w:rPr>
      </w:pPr>
    </w:p>
    <w:p>
      <w:pPr>
        <w:ind w:left="20" w:right="940" w:firstLine="662"/>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6772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6772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28" w:right="49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5" w:lineRule="exact"/>
        <w:rPr>
          <w:sz w:val="20"/>
          <w:szCs w:val="20"/>
          <w:color w:val="auto"/>
        </w:rPr>
      </w:pPr>
    </w:p>
    <w:p>
      <w:pPr>
        <w:ind w:right="620" w:firstLine="674"/>
        <w:spacing w:after="0" w:line="293" w:lineRule="auto"/>
        <w:rPr>
          <w:sz w:val="20"/>
          <w:szCs w:val="20"/>
          <w:color w:val="auto"/>
        </w:rPr>
      </w:pPr>
      <w:r>
        <w:rPr>
          <w:rFonts w:ascii="Arial" w:cs="Arial" w:eastAsia="Arial" w:hAnsi="Arial"/>
          <w:sz w:val="16"/>
          <w:szCs w:val="16"/>
          <w:color w:val="auto"/>
        </w:rPr>
        <w:t>On August 11, 2022, Graybug Vision, Inc. issued a press release announcing its financial results for the fiscal quarter ended June 30, 2022. A copy of the press release is attached as Exhibit 99.1 to this report.</w:t>
      </w:r>
    </w:p>
    <w:p>
      <w:pPr>
        <w:spacing w:after="0" w:line="91" w:lineRule="exact"/>
        <w:rPr>
          <w:sz w:val="20"/>
          <w:szCs w:val="20"/>
          <w:color w:val="auto"/>
        </w:rPr>
      </w:pPr>
    </w:p>
    <w:p>
      <w:pPr>
        <w:jc w:val="both"/>
        <w:ind w:right="180" w:firstLine="699"/>
        <w:spacing w:after="0" w:line="297" w:lineRule="auto"/>
        <w:rPr>
          <w:sz w:val="20"/>
          <w:szCs w:val="20"/>
          <w:color w:val="auto"/>
        </w:rPr>
      </w:pPr>
      <w:r>
        <w:rPr>
          <w:rFonts w:ascii="Arial" w:cs="Arial" w:eastAsia="Arial" w:hAnsi="Arial"/>
          <w:sz w:val="15"/>
          <w:szCs w:val="15"/>
          <w:color w:val="auto"/>
        </w:rPr>
        <w:t>The information in this Item 2.02, including Exhibit 99.1 to this report, shall not be deemed to be “filed” for purposes of Section 18 of the Securities Exchange Act of 1934, as amended (the “Exchange Act”), or otherwise subject to the liabilities of that section or Sections 11 and 12(a)(2) of the Securities Act of 1933, as amended (the “Securities Act”). The information contained in this Item 2.02 and in the accompanying Exhibit 99.1 shall not be incorporated by reference into any other filing under the Exchange Act or under the Securities Act, except as shall be expressly set forth by specific reference in such filing.</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Arial" w:cs="Arial" w:eastAsia="Arial" w:hAnsi="Arial"/>
                <w:sz w:val="14"/>
                <w:szCs w:val="14"/>
                <w:color w:val="auto"/>
              </w:rPr>
              <w:t>Exhibit</w:t>
            </w:r>
          </w:p>
        </w:tc>
        <w:tc>
          <w:tcPr>
            <w:tcW w:w="2640" w:type="dxa"/>
            <w:vAlign w:val="bottom"/>
          </w:tcPr>
          <w:p>
            <w:pPr>
              <w:spacing w:after="0"/>
              <w:rPr>
                <w:sz w:val="14"/>
                <w:szCs w:val="14"/>
                <w:color w:val="auto"/>
              </w:rPr>
            </w:pPr>
          </w:p>
        </w:tc>
        <w:tc>
          <w:tcPr>
            <w:tcW w:w="7460" w:type="dxa"/>
            <w:vAlign w:val="bottom"/>
          </w:tcPr>
          <w:p>
            <w:pPr>
              <w:spacing w:after="0"/>
              <w:rPr>
                <w:sz w:val="14"/>
                <w:szCs w:val="14"/>
                <w:color w:val="auto"/>
              </w:rPr>
            </w:pPr>
          </w:p>
        </w:tc>
      </w:tr>
      <w:tr>
        <w:trPr>
          <w:trHeight w:val="182"/>
        </w:trPr>
        <w:tc>
          <w:tcPr>
            <w:tcW w:w="1140" w:type="dxa"/>
            <w:vAlign w:val="bottom"/>
          </w:tcPr>
          <w:p>
            <w:pPr>
              <w:spacing w:after="0"/>
              <w:rPr>
                <w:sz w:val="20"/>
                <w:szCs w:val="20"/>
                <w:color w:val="auto"/>
              </w:rPr>
            </w:pPr>
            <w:r>
              <w:rPr>
                <w:rFonts w:ascii="Arial" w:cs="Arial" w:eastAsia="Arial" w:hAnsi="Arial"/>
                <w:sz w:val="14"/>
                <w:szCs w:val="14"/>
                <w:color w:val="auto"/>
              </w:rPr>
              <w:t>Number</w:t>
            </w:r>
          </w:p>
        </w:tc>
        <w:tc>
          <w:tcPr>
            <w:tcW w:w="101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82"/>
        </w:trPr>
        <w:tc>
          <w:tcPr>
            <w:tcW w:w="1140" w:type="dxa"/>
            <w:vAlign w:val="bottom"/>
          </w:tcPr>
          <w:p>
            <w:pPr>
              <w:ind w:left="140"/>
              <w:spacing w:after="0"/>
              <w:rPr>
                <w:sz w:val="20"/>
                <w:szCs w:val="20"/>
                <w:color w:val="auto"/>
              </w:rPr>
            </w:pPr>
            <w:r>
              <w:rPr>
                <w:rFonts w:ascii="Arial" w:cs="Arial" w:eastAsia="Arial" w:hAnsi="Arial"/>
                <w:sz w:val="18"/>
                <w:szCs w:val="18"/>
                <w:color w:val="auto"/>
              </w:rPr>
              <w:t>99.1</w:t>
            </w:r>
          </w:p>
        </w:tc>
        <w:tc>
          <w:tcPr>
            <w:tcW w:w="2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6"/>
              </w:rPr>
              <w:t>Press release, dated August 11, 2022</w:t>
            </w:r>
          </w:p>
        </w:tc>
        <w:tc>
          <w:tcPr>
            <w:tcW w:w="7460" w:type="dxa"/>
            <w:vAlign w:val="bottom"/>
          </w:tcPr>
          <w:p>
            <w:pPr>
              <w:spacing w:after="0"/>
              <w:rPr>
                <w:sz w:val="24"/>
                <w:szCs w:val="24"/>
                <w:color w:val="auto"/>
              </w:rPr>
            </w:pPr>
          </w:p>
        </w:tc>
      </w:tr>
      <w:tr>
        <w:trPr>
          <w:trHeight w:val="237"/>
        </w:trPr>
        <w:tc>
          <w:tcPr>
            <w:tcW w:w="1140" w:type="dxa"/>
            <w:vAlign w:val="bottom"/>
          </w:tcPr>
          <w:p>
            <w:pPr>
              <w:ind w:left="140"/>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24"/>
        </w:trPr>
        <w:tc>
          <w:tcPr>
            <w:tcW w:w="1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6"/>
          <w:szCs w:val="16"/>
          <w:b w:val="1"/>
          <w:bCs w:val="1"/>
          <w:color w:val="auto"/>
        </w:rPr>
        <w:t>SIGNATURE</w:t>
      </w:r>
    </w:p>
    <w:p>
      <w:pPr>
        <w:spacing w:after="0" w:line="225" w:lineRule="exact"/>
        <w:rPr>
          <w:sz w:val="20"/>
          <w:szCs w:val="20"/>
          <w:color w:val="auto"/>
        </w:rPr>
      </w:pPr>
    </w:p>
    <w:p>
      <w:pPr>
        <w:ind w:firstLine="79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7"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GRAYBUG VISION, INC.</w:t>
      </w:r>
    </w:p>
    <w:p>
      <w:pPr>
        <w:spacing w:after="0" w:line="212" w:lineRule="exact"/>
        <w:rPr>
          <w:sz w:val="20"/>
          <w:szCs w:val="20"/>
          <w:color w:val="auto"/>
        </w:rPr>
      </w:pPr>
    </w:p>
    <w:p>
      <w:pPr>
        <w:spacing w:after="0"/>
        <w:tabs>
          <w:tab w:leader="none" w:pos="6120" w:val="left"/>
        </w:tabs>
        <w:rPr>
          <w:sz w:val="20"/>
          <w:szCs w:val="20"/>
          <w:color w:val="auto"/>
        </w:rPr>
      </w:pPr>
      <w:r>
        <w:rPr>
          <w:rFonts w:ascii="Arial" w:cs="Arial" w:eastAsia="Arial" w:hAnsi="Arial"/>
          <w:sz w:val="16"/>
          <w:szCs w:val="16"/>
          <w:color w:val="auto"/>
        </w:rPr>
        <w:t>Date: August 11, 2022</w:t>
      </w:r>
      <w:r>
        <w:rPr>
          <w:sz w:val="20"/>
          <w:szCs w:val="20"/>
          <w:color w:val="auto"/>
        </w:rPr>
        <w:tab/>
      </w:r>
      <w:r>
        <w:rPr>
          <w:rFonts w:ascii="Arial" w:cs="Arial" w:eastAsia="Arial" w:hAnsi="Arial"/>
          <w:sz w:val="15"/>
          <w:szCs w:val="15"/>
          <w:color w:val="auto"/>
        </w:rPr>
        <w:t>By: /s/ Frederic Guerard</w:t>
      </w:r>
    </w:p>
    <w:p>
      <w:pPr>
        <w:spacing w:after="0" w:line="22"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Frederic Guerard,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-112395</wp:posOffset>
            </wp:positionV>
            <wp:extent cx="2623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6"/>
          <w:szCs w:val="16"/>
          <w:b w:val="1"/>
          <w:bCs w:val="1"/>
          <w:color w:val="auto"/>
        </w:rPr>
        <w:t>Chief Executive Officer</w:t>
      </w:r>
    </w:p>
    <w:p>
      <w:pPr>
        <w:spacing w:after="0" w:line="14"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0880"/>
          </w:cols>
          <w:pgMar w:left="320" w:top="585" w:right="699" w:bottom="1440" w:gutter="0" w:footer="0" w:header="0"/>
        </w:sectPr>
      </w:pPr>
    </w:p>
    <w:bookmarkStart w:id="3" w:name="page4"/>
    <w:bookmarkEnd w:id="3"/>
    <w:p>
      <w:pPr>
        <w:ind w:left="7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1937385"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37385" cy="436880"/>
                    </a:xfrm>
                    <a:prstGeom prst="rect">
                      <a:avLst/>
                    </a:prstGeom>
                    <a:noFill/>
                  </pic:spPr>
                </pic:pic>
              </a:graphicData>
            </a:graphic>
          </wp:anchor>
        </w:drawing>
        <w:t>Graybug Vision, Inc.</w:t>
      </w:r>
    </w:p>
    <w:p>
      <w:pPr>
        <w:ind w:left="7660"/>
        <w:spacing w:after="0" w:line="234" w:lineRule="auto"/>
        <w:rPr>
          <w:sz w:val="20"/>
          <w:szCs w:val="20"/>
          <w:color w:val="auto"/>
        </w:rPr>
      </w:pPr>
      <w:r>
        <w:rPr>
          <w:rFonts w:ascii="Arial" w:cs="Arial" w:eastAsia="Arial" w:hAnsi="Arial"/>
          <w:sz w:val="18"/>
          <w:szCs w:val="18"/>
          <w:color w:val="auto"/>
        </w:rPr>
        <w:t>6411 Beckley Street</w:t>
      </w:r>
    </w:p>
    <w:p>
      <w:pPr>
        <w:ind w:left="7660"/>
        <w:spacing w:after="0" w:line="235" w:lineRule="auto"/>
        <w:rPr>
          <w:sz w:val="20"/>
          <w:szCs w:val="20"/>
          <w:color w:val="auto"/>
        </w:rPr>
      </w:pPr>
      <w:r>
        <w:rPr>
          <w:rFonts w:ascii="Arial" w:cs="Arial" w:eastAsia="Arial" w:hAnsi="Arial"/>
          <w:sz w:val="18"/>
          <w:szCs w:val="18"/>
          <w:color w:val="auto"/>
        </w:rPr>
        <w:t>Suite North 200 (N200)</w:t>
      </w:r>
    </w:p>
    <w:p>
      <w:pPr>
        <w:ind w:left="7660"/>
        <w:spacing w:after="0" w:line="235" w:lineRule="auto"/>
        <w:rPr>
          <w:sz w:val="20"/>
          <w:szCs w:val="20"/>
          <w:color w:val="auto"/>
        </w:rPr>
      </w:pPr>
      <w:r>
        <w:rPr>
          <w:rFonts w:ascii="Arial" w:cs="Arial" w:eastAsia="Arial" w:hAnsi="Arial"/>
          <w:sz w:val="18"/>
          <w:szCs w:val="18"/>
          <w:color w:val="auto"/>
        </w:rPr>
        <w:t>Baltimore, MD 21224</w:t>
      </w:r>
    </w:p>
    <w:p>
      <w:pPr>
        <w:ind w:left="7660"/>
        <w:spacing w:after="0" w:line="232" w:lineRule="auto"/>
        <w:rPr>
          <w:sz w:val="20"/>
          <w:szCs w:val="20"/>
          <w:color w:val="auto"/>
        </w:rPr>
      </w:pPr>
      <w:r>
        <w:rPr>
          <w:rFonts w:ascii="Arial" w:cs="Arial" w:eastAsia="Arial" w:hAnsi="Arial"/>
          <w:sz w:val="18"/>
          <w:szCs w:val="18"/>
          <w:color w:val="auto"/>
        </w:rPr>
        <w:t>www.graybug.vision</w:t>
      </w: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Graybug Vision Reports Financial Results for the Three and Six Months Ended June 30, 2022, and Recent Corporate Developments</w:t>
      </w:r>
    </w:p>
    <w:p>
      <w:pPr>
        <w:spacing w:after="0" w:line="40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b w:val="1"/>
          <w:bCs w:val="1"/>
          <w:color w:val="auto"/>
        </w:rPr>
        <w:t xml:space="preserve">BALTIMORE, August 11, 2022 </w:t>
      </w:r>
      <w:r>
        <w:rPr>
          <w:rFonts w:ascii="Arial" w:cs="Arial" w:eastAsia="Arial" w:hAnsi="Arial"/>
          <w:sz w:val="20"/>
          <w:szCs w:val="20"/>
          <w:color w:val="auto"/>
        </w:rPr>
        <w:t>- Graybug Vision, Inc. (Nasdaq: GRAY), a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transformative medicines for ocular diseases, today provided an update on recent corporate developments and anticipated milestones, and reported financial results for the three and six months ended June 30, 2022.</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Corporate Developments</w:t>
      </w:r>
    </w:p>
    <w:p>
      <w:pPr>
        <w:spacing w:after="0" w:line="202" w:lineRule="exact"/>
        <w:rPr>
          <w:sz w:val="20"/>
          <w:szCs w:val="20"/>
          <w:color w:val="auto"/>
        </w:rPr>
      </w:pPr>
    </w:p>
    <w:p>
      <w:pPr>
        <w:ind w:left="440" w:right="120" w:hanging="432"/>
        <w:spacing w:after="0" w:line="237" w:lineRule="auto"/>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Announced review of strategic alternatives </w:t>
      </w:r>
      <w:r>
        <w:rPr>
          <w:rFonts w:ascii="Arial" w:cs="Arial" w:eastAsia="Arial" w:hAnsi="Arial"/>
          <w:sz w:val="20"/>
          <w:szCs w:val="20"/>
          <w:color w:val="auto"/>
        </w:rPr>
        <w:t>— On June 28, 2022, Graybug announced that its Board of Directors would</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a comprehensive review of strategic alternatives focused on maximizing shareholder value. Alternatives being explored include the potential for an acquisition, company sale, merger, divestiture of assets, private placement of equity securities, or other strategic transactions.</w:t>
      </w:r>
    </w:p>
    <w:p>
      <w:pPr>
        <w:spacing w:after="0" w:line="171" w:lineRule="exact"/>
        <w:rPr>
          <w:rFonts w:ascii="Arial" w:cs="Arial" w:eastAsia="Arial" w:hAnsi="Arial"/>
          <w:sz w:val="20"/>
          <w:szCs w:val="20"/>
          <w:color w:val="auto"/>
        </w:rPr>
      </w:pPr>
    </w:p>
    <w:p>
      <w:pPr>
        <w:ind w:left="440" w:right="140" w:hanging="432"/>
        <w:spacing w:after="0" w:line="241" w:lineRule="auto"/>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Further clinical development is on hold pending outcome of strategic review </w:t>
      </w:r>
      <w:r>
        <w:rPr>
          <w:rFonts w:ascii="Arial" w:cs="Arial" w:eastAsia="Arial" w:hAnsi="Arial"/>
          <w:sz w:val="20"/>
          <w:szCs w:val="20"/>
          <w:color w:val="auto"/>
        </w:rPr>
        <w:t>— As part of Graybug’s previously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cost-containment measures, all clinical development of GB-102, GB-401, and GB-501 has been put on hold to conserve capital pending outcome of its strategic review.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for the Three Months Ended June 30, 2022</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Net loss for the quarter ended June 30, 2022 was $8.2 million compared to $7.7 million for the same period in 2021.</w:t>
      </w:r>
    </w:p>
    <w:p>
      <w:pPr>
        <w:spacing w:after="0" w:line="94" w:lineRule="exact"/>
        <w:rPr>
          <w:sz w:val="20"/>
          <w:szCs w:val="20"/>
          <w:color w:val="auto"/>
        </w:rPr>
      </w:pPr>
    </w:p>
    <w:p>
      <w:pPr>
        <w:ind w:right="240"/>
        <w:spacing w:after="0" w:line="229" w:lineRule="auto"/>
        <w:rPr>
          <w:sz w:val="20"/>
          <w:szCs w:val="20"/>
          <w:color w:val="auto"/>
        </w:rPr>
      </w:pPr>
      <w:r>
        <w:rPr>
          <w:rFonts w:ascii="Arial" w:cs="Arial" w:eastAsia="Arial" w:hAnsi="Arial"/>
          <w:sz w:val="20"/>
          <w:szCs w:val="20"/>
          <w:color w:val="auto"/>
        </w:rPr>
        <w:t>Research and development expense for the quarter ended June 30, 2022 was $4.1 million compared to $4.2 million for the same period in 2021. There was little overall change in research and development expense. While clinical trial expense decreased due to the completion of the extension phase of the GB-102 Phase 2b clinical trial in May 2021, this decrease was largely offset by an increase in non-clinical outside expense related to the GB-401 program and an increase in consulting fees related to the GB-501 program.</w:t>
      </w:r>
    </w:p>
    <w:p>
      <w:pPr>
        <w:spacing w:after="0" w:line="9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General and administrative expense for the quarter ended June 30, 2022 was $4.2 million compared to $3.6 million for the same period in 2021. The increase was primarily due to an increase in stock-based compensation and an increase in professional services, including legal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Financial Results for the Six Months Ended June 30, 2022</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Net loss for the six months ended June 30, 2022 was $18.4 million compared to $19.2 million for the same period in 2021.</w:t>
      </w:r>
    </w:p>
    <w:p>
      <w:pPr>
        <w:spacing w:after="0" w:line="94"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Research and development expense for the six months ended June 30, 2022 was $10.1 million compared to $ 10.6 million for the same period in 2021. While clinical trial expenses decreased due to the completion of the extension phase of the GB-102 Phase 2b clinical trial in May 2021 and staffing expense also decreased due to severance costs incurred in the first half of 2021, these decreases were mostly offset by the write-off of the in-process research and development intangible asset related to the acquisition of RainBio, Inc in March 2022.</w:t>
      </w:r>
    </w:p>
    <w:p>
      <w:pPr>
        <w:spacing w:after="0" w:line="91"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General and administrative expense for the six months ended June 30, 2022 was $8.4 million compared to $8.6 million for the same period in 2021. While general and administrative expense decreased due to the write-off of deposits on fixed asset purchase commitments in March 2021 relating to the GB-102 program, this decrease was largely offset by an increase in stock compensation and an increase in professional services, including legal and accounting.</w:t>
      </w:r>
    </w:p>
    <w:p>
      <w:pPr>
        <w:spacing w:after="0" w:line="90"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As of June 30, 2022, the company’s cash, cash equivalents, and short-term investments totaled $50.7 million. Management believes Graybug’s current cash and investments are sufficient to support its currently planned operations into the fourth quarter of 2023.</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Graybug</w:t>
      </w:r>
    </w:p>
    <w:p>
      <w:pPr>
        <w:spacing w:after="0" w:line="118"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 xml:space="preserve">Graybug is a clinical-stage biopharmaceutical company focused on developing transformative medicines for ocular diseases. The company’s diversified portfolio is designed to treat vision-threatening diseases of the retina, optic nerve, and cornea, by either maintaining effective drug levels in ocular tissues for long periods of time, using innovative technologies, such as injectable sustained-release formulations, or by curing diseases with gene therapies. Graybug’s most advanced drug candidate, </w:t>
      </w:r>
      <w:r>
        <w:rPr>
          <w:rFonts w:ascii="Arial" w:cs="Arial" w:eastAsia="Arial" w:hAnsi="Arial"/>
          <w:sz w:val="19"/>
          <w:szCs w:val="19"/>
          <w:b w:val="1"/>
          <w:bCs w:val="1"/>
          <w:color w:val="auto"/>
        </w:rPr>
        <w:t xml:space="preserve">GB-102 </w:t>
      </w:r>
      <w:r>
        <w:rPr>
          <w:rFonts w:ascii="Arial" w:cs="Arial" w:eastAsia="Arial" w:hAnsi="Arial"/>
          <w:sz w:val="19"/>
          <w:szCs w:val="19"/>
          <w:color w:val="auto"/>
        </w:rPr>
        <w:t>is a microparticle formulation of a pan-VEGF inhibitor, sunitinib, for the treatment of wet age-related macular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degeneration designed for a twice-per-year intravitreal injection. GB-102 has the potential to also benefit patients with diabetic retinopathy. </w:t>
      </w:r>
      <w:r>
        <w:rPr>
          <w:rFonts w:ascii="Arial" w:cs="Arial" w:eastAsia="Arial" w:hAnsi="Arial"/>
          <w:sz w:val="19"/>
          <w:szCs w:val="19"/>
          <w:b w:val="1"/>
          <w:bCs w:val="1"/>
          <w:color w:val="auto"/>
        </w:rPr>
        <w:t>GB-401</w:t>
      </w:r>
      <w:r>
        <w:rPr>
          <w:rFonts w:ascii="Arial" w:cs="Arial" w:eastAsia="Arial" w:hAnsi="Arial"/>
          <w:sz w:val="19"/>
          <w:szCs w:val="19"/>
          <w:color w:val="auto"/>
        </w:rPr>
        <w:t xml:space="preserve"> is a first-in-class implant formulation containing a novel prodrug of timolol for the treatment of primary open angle glaucoma (POAG) designed for a twice-per-year intravitreal injection with a proprietary applicator. </w:t>
      </w:r>
      <w:r>
        <w:rPr>
          <w:rFonts w:ascii="Arial" w:cs="Arial" w:eastAsia="Arial" w:hAnsi="Arial"/>
          <w:sz w:val="19"/>
          <w:szCs w:val="19"/>
          <w:b w:val="1"/>
          <w:bCs w:val="1"/>
          <w:color w:val="auto"/>
        </w:rPr>
        <w:t>GB-501</w:t>
      </w:r>
      <w:r>
        <w:rPr>
          <w:rFonts w:ascii="Arial" w:cs="Arial" w:eastAsia="Arial" w:hAnsi="Arial"/>
          <w:sz w:val="19"/>
          <w:szCs w:val="19"/>
          <w:color w:val="auto"/>
        </w:rPr>
        <w:t xml:space="preserve"> is an adeno-associated virus (AAV) gene therapy with Orphan Drug Designation (ODD) and Rare Pediatric Disease Designation (RPDD) to treat corneal clouding caused by mucopolysaccharidosis type 1 (MPS1), a lysosomal storage disorder. </w:t>
      </w:r>
      <w:r>
        <w:rPr>
          <w:rFonts w:ascii="Arial" w:cs="Arial" w:eastAsia="Arial" w:hAnsi="Arial"/>
          <w:sz w:val="19"/>
          <w:szCs w:val="19"/>
          <w:b w:val="1"/>
          <w:bCs w:val="1"/>
          <w:color w:val="auto"/>
        </w:rPr>
        <w:t>GB-601</w:t>
      </w:r>
      <w:r>
        <w:rPr>
          <w:rFonts w:ascii="Arial" w:cs="Arial" w:eastAsia="Arial" w:hAnsi="Arial"/>
          <w:sz w:val="19"/>
          <w:szCs w:val="19"/>
          <w:color w:val="auto"/>
        </w:rPr>
        <w:t xml:space="preserve"> is being developed as a long-acting formulation of a novel cGMP analog to address inherited retinal diseases like retinitis pigmentosa, a group of genetic disorders that involve a loss of cells in the retina. </w:t>
      </w:r>
      <w:r>
        <w:rPr>
          <w:rFonts w:ascii="Arial" w:cs="Arial" w:eastAsia="Arial" w:hAnsi="Arial"/>
          <w:sz w:val="19"/>
          <w:szCs w:val="19"/>
          <w:b w:val="1"/>
          <w:bCs w:val="1"/>
          <w:color w:val="auto"/>
        </w:rPr>
        <w:t>GB-701</w:t>
      </w:r>
      <w:r>
        <w:rPr>
          <w:rFonts w:ascii="Arial" w:cs="Arial" w:eastAsia="Arial" w:hAnsi="Arial"/>
          <w:sz w:val="19"/>
          <w:szCs w:val="19"/>
          <w:color w:val="auto"/>
        </w:rPr>
        <w:t xml:space="preserve"> is being developed as a long-acting formulation of a potent factor B inhibitor targeting the complement cascade that plays a role in age-related macular degeneration. Founded in 2011 based on technology licensed from the Johns Hopkins University School of Medicine, Graybug has offices in Redwood City, California and in Baltimore, Maryland. For more information, please visit </w:t>
      </w:r>
      <w:r>
        <w:rPr>
          <w:rFonts w:ascii="Arial" w:cs="Arial" w:eastAsia="Arial" w:hAnsi="Arial"/>
          <w:sz w:val="19"/>
          <w:szCs w:val="19"/>
          <w:u w:val="single" w:color="auto"/>
          <w:color w:val="auto"/>
        </w:rPr>
        <w:t>www.graybug.vision</w:t>
      </w:r>
      <w:r>
        <w:rPr>
          <w:rFonts w:ascii="Arial" w:cs="Arial" w:eastAsia="Arial" w:hAnsi="Arial"/>
          <w:sz w:val="19"/>
          <w:szCs w:val="19"/>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8"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This press release contains forward-looking statements within the meaning of the “safe harbor” provisions of the Private Securities Litigation Reform Act of 1995 including, but not limited to, statements regarding the company’s strategic review process, the timing, cost or expense required to pursue any strategic alternative, the ability to successfully consummate one or more strategic transactions on terms that maximize shareholder value, the company’s clinical pipeline, its ability to advance GB-102, GB-401, GB-501, GB-601, GB-701 or any future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 w:name="page6"/>
    <w:bookmarkEnd w:id="5"/>
    <w:p>
      <w:pPr>
        <w:ind w:right="40"/>
        <w:spacing w:after="0" w:line="227" w:lineRule="auto"/>
        <w:rPr>
          <w:sz w:val="20"/>
          <w:szCs w:val="20"/>
          <w:color w:val="auto"/>
        </w:rPr>
      </w:pPr>
      <w:r>
        <w:rPr>
          <w:rFonts w:ascii="Arial" w:cs="Arial" w:eastAsia="Arial" w:hAnsi="Arial"/>
          <w:sz w:val="20"/>
          <w:szCs w:val="20"/>
          <w:color w:val="auto"/>
        </w:rPr>
        <w:t>candidate through preclinical or clinical development, its ability to initiate clinical trials, achieve its anticipated milestones within the timing outlined above or at all, its ability to conduct planned operations within the evolving constraints arising from the COVID-19 pandemic, accurately predict the timing or magnitude of its future cash requirements, the resulting depletion of its cash resources, and the timing, cost, and results of its clinical trials. Forward-looking statements are subject to risks and uncertainties that may cause the company’s actual activities or results to differ significantly from those expressed in any forward-looking statement, including risks and uncertainties described under the heading “Risk Factors” in the company’s annual report on Form 10-K filed for the year ended December 31, 2021, in its subsequent quarterly reports on Form 10-Q, and in the other reports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80" w:type="dxa"/>
            <w:vAlign w:val="bottom"/>
            <w:gridSpan w:val="2"/>
          </w:tcPr>
          <w:p>
            <w:pPr>
              <w:spacing w:after="0"/>
              <w:rPr>
                <w:sz w:val="20"/>
                <w:szCs w:val="20"/>
                <w:color w:val="auto"/>
              </w:rPr>
            </w:pPr>
            <w:r>
              <w:rPr>
                <w:rFonts w:ascii="Arial" w:cs="Arial" w:eastAsia="Arial" w:hAnsi="Arial"/>
                <w:sz w:val="20"/>
                <w:szCs w:val="20"/>
                <w:b w:val="1"/>
                <w:bCs w:val="1"/>
                <w:color w:val="auto"/>
              </w:rPr>
              <w:t>Investor Contact</w:t>
            </w:r>
          </w:p>
        </w:tc>
        <w:tc>
          <w:tcPr>
            <w:tcW w:w="7880" w:type="dxa"/>
            <w:vAlign w:val="bottom"/>
            <w:gridSpan w:val="3"/>
          </w:tcPr>
          <w:p>
            <w:pPr>
              <w:ind w:left="1700"/>
              <w:spacing w:after="0"/>
              <w:rPr>
                <w:sz w:val="20"/>
                <w:szCs w:val="20"/>
                <w:color w:val="auto"/>
              </w:rPr>
            </w:pPr>
            <w:r>
              <w:rPr>
                <w:rFonts w:ascii="Arial" w:cs="Arial" w:eastAsia="Arial" w:hAnsi="Arial"/>
                <w:sz w:val="20"/>
                <w:szCs w:val="20"/>
                <w:b w:val="1"/>
                <w:bCs w:val="1"/>
                <w:color w:val="auto"/>
              </w:rPr>
              <w:t>Media Contact</w:t>
            </w:r>
          </w:p>
        </w:tc>
      </w:tr>
      <w:tr>
        <w:trPr>
          <w:trHeight w:val="193"/>
        </w:trPr>
        <w:tc>
          <w:tcPr>
            <w:tcW w:w="3380" w:type="dxa"/>
            <w:vAlign w:val="bottom"/>
            <w:gridSpan w:val="2"/>
          </w:tcPr>
          <w:p>
            <w:pPr>
              <w:spacing w:after="0" w:line="193" w:lineRule="exact"/>
              <w:rPr>
                <w:sz w:val="20"/>
                <w:szCs w:val="20"/>
                <w:color w:val="auto"/>
              </w:rPr>
            </w:pPr>
            <w:r>
              <w:rPr>
                <w:rFonts w:ascii="Arial" w:cs="Arial" w:eastAsia="Arial" w:hAnsi="Arial"/>
                <w:sz w:val="20"/>
                <w:szCs w:val="20"/>
                <w:color w:val="0000FF"/>
              </w:rPr>
              <w:t>IR@graybug.vision</w:t>
            </w:r>
          </w:p>
        </w:tc>
        <w:tc>
          <w:tcPr>
            <w:tcW w:w="7880" w:type="dxa"/>
            <w:vAlign w:val="bottom"/>
            <w:gridSpan w:val="3"/>
          </w:tcPr>
          <w:p>
            <w:pPr>
              <w:ind w:left="1700"/>
              <w:spacing w:after="0" w:line="193" w:lineRule="exact"/>
              <w:rPr>
                <w:sz w:val="20"/>
                <w:szCs w:val="20"/>
                <w:color w:val="auto"/>
              </w:rPr>
            </w:pPr>
            <w:r>
              <w:rPr>
                <w:rFonts w:ascii="Arial" w:cs="Arial" w:eastAsia="Arial" w:hAnsi="Arial"/>
                <w:sz w:val="20"/>
                <w:szCs w:val="20"/>
                <w:color w:val="0000FF"/>
              </w:rPr>
              <w:t>media@graybug.vision</w:t>
            </w:r>
          </w:p>
        </w:tc>
      </w:tr>
      <w:tr>
        <w:trPr>
          <w:trHeight w:val="20"/>
        </w:trPr>
        <w:tc>
          <w:tcPr>
            <w:tcW w:w="16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41"/>
        </w:trPr>
        <w:tc>
          <w:tcPr>
            <w:tcW w:w="1680" w:type="dxa"/>
            <w:vAlign w:val="bottom"/>
          </w:tcPr>
          <w:p>
            <w:pPr>
              <w:spacing w:after="0"/>
              <w:rPr>
                <w:sz w:val="20"/>
                <w:szCs w:val="20"/>
                <w:color w:val="auto"/>
              </w:rPr>
            </w:pPr>
            <w:r>
              <w:rPr>
                <w:rFonts w:ascii="Arial" w:cs="Arial" w:eastAsia="Arial" w:hAnsi="Arial"/>
                <w:sz w:val="20"/>
                <w:szCs w:val="20"/>
                <w:color w:val="auto"/>
              </w:rPr>
              <w:t>(650) 487-2409</w:t>
            </w:r>
          </w:p>
        </w:tc>
        <w:tc>
          <w:tcPr>
            <w:tcW w:w="1700" w:type="dxa"/>
            <w:vAlign w:val="bottom"/>
          </w:tcPr>
          <w:p>
            <w:pPr>
              <w:spacing w:after="0"/>
              <w:rPr>
                <w:sz w:val="20"/>
                <w:szCs w:val="20"/>
                <w:color w:val="auto"/>
              </w:rPr>
            </w:pPr>
          </w:p>
        </w:tc>
        <w:tc>
          <w:tcPr>
            <w:tcW w:w="3700" w:type="dxa"/>
            <w:vAlign w:val="bottom"/>
            <w:gridSpan w:val="2"/>
          </w:tcPr>
          <w:p>
            <w:pPr>
              <w:ind w:left="1700"/>
              <w:spacing w:after="0"/>
              <w:rPr>
                <w:sz w:val="20"/>
                <w:szCs w:val="20"/>
                <w:color w:val="auto"/>
              </w:rPr>
            </w:pPr>
            <w:r>
              <w:rPr>
                <w:rFonts w:ascii="Arial" w:cs="Arial" w:eastAsia="Arial" w:hAnsi="Arial"/>
                <w:sz w:val="20"/>
                <w:szCs w:val="20"/>
                <w:color w:val="auto"/>
              </w:rPr>
              <w:t>(404) 384-0067</w:t>
            </w:r>
          </w:p>
        </w:tc>
        <w:tc>
          <w:tcPr>
            <w:tcW w:w="4180" w:type="dxa"/>
            <w:vAlign w:val="bottom"/>
          </w:tcPr>
          <w:p>
            <w:pPr>
              <w:spacing w:after="0"/>
              <w:rPr>
                <w:sz w:val="20"/>
                <w:szCs w:val="20"/>
                <w:color w:val="auto"/>
              </w:rPr>
            </w:pPr>
          </w:p>
        </w:tc>
      </w:tr>
      <w:tr>
        <w:trPr>
          <w:trHeight w:val="543"/>
        </w:trPr>
        <w:tc>
          <w:tcPr>
            <w:tcW w:w="16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44"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0"/>
          <w:szCs w:val="20"/>
          <w:b w:val="1"/>
          <w:bCs w:val="1"/>
          <w:color w:val="auto"/>
        </w:rPr>
        <w:t>GRAYBUG VISION, INC.</w:t>
      </w:r>
    </w:p>
    <w:p>
      <w:pPr>
        <w:jc w:val="center"/>
        <w:ind w:right="20"/>
        <w:spacing w:after="0" w:line="235" w:lineRule="auto"/>
        <w:rPr>
          <w:sz w:val="20"/>
          <w:szCs w:val="20"/>
          <w:color w:val="auto"/>
        </w:rPr>
      </w:pPr>
      <w:r>
        <w:rPr>
          <w:rFonts w:ascii="Arial" w:cs="Arial" w:eastAsia="Arial" w:hAnsi="Arial"/>
          <w:sz w:val="20"/>
          <w:szCs w:val="20"/>
          <w:b w:val="1"/>
          <w:bCs w:val="1"/>
          <w:color w:val="auto"/>
        </w:rPr>
        <w:t>Condensed Consolidated Statements of Operations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thousands, except share and per share amounts;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19"/>
                <w:szCs w:val="19"/>
                <w:color w:val="auto"/>
              </w:rPr>
            </w:pPr>
          </w:p>
        </w:tc>
        <w:tc>
          <w:tcPr>
            <w:tcW w:w="27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6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4,058</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4,166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10,115</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4,243</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1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8,370</w:t>
            </w:r>
          </w:p>
        </w:tc>
        <w:tc>
          <w:tcPr>
            <w:tcW w:w="1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8,301</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18,485</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19,229</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(8,301)</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(7,741)</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(18,485)</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(8,241)</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(7,708)</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(18,390)</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common share—basic and diluted</w:t>
            </w: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vMerge w:val="continue"/>
          </w:tcPr>
          <w:p>
            <w:pPr>
              <w:spacing w:after="0"/>
              <w:rPr>
                <w:sz w:val="20"/>
                <w:szCs w:val="20"/>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(0.38)</w:t>
            </w:r>
          </w:p>
        </w:tc>
        <w:tc>
          <w:tcPr>
            <w:tcW w:w="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(0.36)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(0.86)</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number of shares outstanding used in</w:t>
            </w:r>
          </w:p>
        </w:tc>
        <w:tc>
          <w:tcPr>
            <w:tcW w:w="3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computing net loss per common share—basic and diluted</w:t>
            </w:r>
          </w:p>
        </w:tc>
        <w:tc>
          <w:tcPr>
            <w:tcW w:w="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21,433,396</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21,148,743</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21,395,793</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21,084,915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GRAYBUG VISION, INC.</w:t>
      </w:r>
    </w:p>
    <w:p>
      <w:pPr>
        <w:jc w:val="center"/>
        <w:spacing w:after="0" w:line="235" w:lineRule="auto"/>
        <w:rPr>
          <w:sz w:val="20"/>
          <w:szCs w:val="20"/>
          <w:color w:val="auto"/>
        </w:rPr>
      </w:pPr>
      <w:r>
        <w:rPr>
          <w:rFonts w:ascii="Arial" w:cs="Arial" w:eastAsia="Arial" w:hAnsi="Arial"/>
          <w:sz w:val="20"/>
          <w:szCs w:val="20"/>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June 30, 2022  December 31, 2021</w:t>
            </w:r>
          </w:p>
        </w:tc>
        <w:tc>
          <w:tcPr>
            <w:tcW w:w="100" w:type="dxa"/>
            <w:vAlign w:val="bottom"/>
          </w:tcPr>
          <w:p>
            <w:pPr>
              <w:spacing w:after="0"/>
              <w:rPr>
                <w:sz w:val="21"/>
                <w:szCs w:val="21"/>
                <w:color w:val="auto"/>
              </w:rPr>
            </w:pPr>
          </w:p>
        </w:tc>
      </w:tr>
      <w:tr>
        <w:trPr>
          <w:trHeight w:val="223"/>
        </w:trPr>
        <w:tc>
          <w:tcPr>
            <w:tcW w:w="5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560"/>
              <w:spacing w:after="0" w:line="223" w:lineRule="exact"/>
              <w:rPr>
                <w:sz w:val="20"/>
                <w:szCs w:val="20"/>
                <w:color w:val="auto"/>
              </w:rPr>
            </w:pPr>
            <w:r>
              <w:rPr>
                <w:rFonts w:ascii="Arial" w:cs="Arial" w:eastAsia="Arial" w:hAnsi="Arial"/>
                <w:sz w:val="20"/>
                <w:szCs w:val="20"/>
                <w:color w:val="auto"/>
              </w:rPr>
              <w:t>(unaudited)</w:t>
            </w:r>
          </w:p>
        </w:tc>
        <w:tc>
          <w:tcPr>
            <w:tcW w:w="280" w:type="dxa"/>
            <w:vAlign w:val="bottom"/>
          </w:tcPr>
          <w:p>
            <w:pPr>
              <w:spacing w:after="0"/>
              <w:rPr>
                <w:sz w:val="19"/>
                <w:szCs w:val="19"/>
                <w:color w:val="auto"/>
              </w:rPr>
            </w:pPr>
          </w:p>
        </w:tc>
        <w:tc>
          <w:tcPr>
            <w:tcW w:w="1480" w:type="dxa"/>
            <w:vAlign w:val="bottom"/>
            <w:gridSpan w:val="2"/>
          </w:tcPr>
          <w:p>
            <w:pPr>
              <w:jc w:val="right"/>
              <w:ind w:right="540"/>
              <w:spacing w:after="0" w:line="223" w:lineRule="exact"/>
              <w:rPr>
                <w:sz w:val="20"/>
                <w:szCs w:val="20"/>
                <w:color w:val="auto"/>
              </w:rPr>
            </w:pPr>
            <w:r>
              <w:rPr>
                <w:rFonts w:ascii="Arial" w:cs="Arial" w:eastAsia="Arial" w:hAnsi="Arial"/>
                <w:sz w:val="20"/>
                <w:szCs w:val="20"/>
                <w:color w:val="auto"/>
              </w:rPr>
              <w:t>(audited)</w:t>
            </w:r>
          </w:p>
        </w:tc>
      </w:tr>
      <w:tr>
        <w:trPr>
          <w:trHeight w:val="223"/>
        </w:trPr>
        <w:tc>
          <w:tcPr>
            <w:tcW w:w="5900" w:type="dxa"/>
            <w:vAlign w:val="bottom"/>
            <w:tcBorders>
              <w:top w:val="single" w:sz="8" w:color="CFF0FC"/>
            </w:tcBorders>
            <w:shd w:val="clear" w:color="auto" w:fill="CFF0FC"/>
          </w:tcPr>
          <w:p>
            <w:pPr>
              <w:spacing w:after="0" w:line="223" w:lineRule="exact"/>
              <w:rPr>
                <w:sz w:val="20"/>
                <w:szCs w:val="20"/>
                <w:color w:val="auto"/>
              </w:rPr>
            </w:pPr>
            <w:r>
              <w:rPr>
                <w:rFonts w:ascii="Arial" w:cs="Arial" w:eastAsia="Arial" w:hAnsi="Arial"/>
                <w:sz w:val="20"/>
                <w:szCs w:val="20"/>
                <w:b w:val="1"/>
                <w:bCs w:val="1"/>
                <w:color w:val="auto"/>
              </w:rPr>
              <w:t>Assets</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20"/>
                <w:szCs w:val="20"/>
                <w:color w:val="auto"/>
              </w:rPr>
              <w:t>Current assets: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Cash and cash equivalents</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13,872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13,364</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20"/>
                <w:szCs w:val="20"/>
                <w:color w:val="auto"/>
              </w:rPr>
              <w:t>Short-term investments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36,817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50,306</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Prepaid expenses and other current assets</w:t>
            </w:r>
          </w:p>
        </w:tc>
        <w:tc>
          <w:tcPr>
            <w:tcW w:w="1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1,038</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3,408</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ind w:left="500"/>
              <w:spacing w:after="0" w:line="223" w:lineRule="exact"/>
              <w:rPr>
                <w:sz w:val="20"/>
                <w:szCs w:val="20"/>
                <w:color w:val="auto"/>
              </w:rPr>
            </w:pPr>
            <w:r>
              <w:rPr>
                <w:rFonts w:ascii="Arial" w:cs="Arial" w:eastAsia="Arial" w:hAnsi="Arial"/>
                <w:sz w:val="20"/>
                <w:szCs w:val="20"/>
                <w:color w:val="auto"/>
              </w:rPr>
              <w:t>Total current assets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0"/>
                <w:szCs w:val="20"/>
                <w:color w:val="auto"/>
              </w:rPr>
              <w:t>51,727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line="223" w:lineRule="exact"/>
              <w:rPr>
                <w:sz w:val="20"/>
                <w:szCs w:val="20"/>
                <w:color w:val="auto"/>
              </w:rPr>
            </w:pPr>
            <w:r>
              <w:rPr>
                <w:rFonts w:ascii="Arial" w:cs="Arial" w:eastAsia="Arial" w:hAnsi="Arial"/>
                <w:sz w:val="20"/>
                <w:szCs w:val="20"/>
                <w:color w:val="auto"/>
              </w:rPr>
              <w:t>67,078</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20"/>
                <w:szCs w:val="20"/>
                <w:color w:val="auto"/>
              </w:rPr>
              <w:t>Property and equipment, net</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1,981</w:t>
            </w:r>
          </w:p>
        </w:tc>
        <w:tc>
          <w:tcPr>
            <w:tcW w:w="100" w:type="dxa"/>
            <w:vAlign w:val="bottom"/>
            <w:shd w:val="clear" w:color="auto" w:fill="CFF0FC"/>
          </w:tcPr>
          <w:p>
            <w:pPr>
              <w:spacing w:after="0"/>
              <w:rPr>
                <w:sz w:val="19"/>
                <w:szCs w:val="19"/>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20"/>
                <w:szCs w:val="20"/>
                <w:color w:val="auto"/>
              </w:rPr>
              <w:t>Operating lease right-of-use asset</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384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43"/>
        </w:trPr>
        <w:tc>
          <w:tcPr>
            <w:tcW w:w="5900" w:type="dxa"/>
            <w:vAlign w:val="bottom"/>
            <w:shd w:val="clear" w:color="auto" w:fill="CFF0FC"/>
          </w:tcPr>
          <w:p>
            <w:pPr>
              <w:spacing w:after="0"/>
              <w:rPr>
                <w:sz w:val="20"/>
                <w:szCs w:val="20"/>
                <w:color w:val="auto"/>
              </w:rPr>
            </w:pPr>
            <w:r>
              <w:rPr>
                <w:rFonts w:ascii="Arial" w:cs="Arial" w:eastAsia="Arial" w:hAnsi="Arial"/>
                <w:sz w:val="20"/>
                <w:szCs w:val="20"/>
                <w:color w:val="auto"/>
              </w:rPr>
              <w:t>Prepaid expenses and other non-current assets</w:t>
            </w:r>
          </w:p>
        </w:tc>
        <w:tc>
          <w:tcPr>
            <w:tcW w:w="17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w:t>
            </w:r>
          </w:p>
        </w:tc>
        <w:tc>
          <w:tcPr>
            <w:tcW w:w="100" w:type="dxa"/>
            <w:vAlign w:val="bottom"/>
            <w:shd w:val="clear" w:color="auto" w:fill="CFF0FC"/>
          </w:tcPr>
          <w:p>
            <w:pPr>
              <w:spacing w:after="0"/>
              <w:rPr>
                <w:sz w:val="21"/>
                <w:szCs w:val="21"/>
                <w:color w:val="auto"/>
              </w:rPr>
            </w:pPr>
          </w:p>
        </w:tc>
      </w:tr>
      <w:tr>
        <w:trPr>
          <w:trHeight w:val="263"/>
        </w:trPr>
        <w:tc>
          <w:tcPr>
            <w:tcW w:w="5900" w:type="dxa"/>
            <w:vAlign w:val="bottom"/>
          </w:tcPr>
          <w:p>
            <w:pPr>
              <w:ind w:left="500"/>
              <w:spacing w:after="0" w:line="223" w:lineRule="exact"/>
              <w:rPr>
                <w:sz w:val="20"/>
                <w:szCs w:val="20"/>
                <w:color w:val="auto"/>
              </w:rPr>
            </w:pPr>
            <w:r>
              <w:rPr>
                <w:rFonts w:ascii="Arial" w:cs="Arial" w:eastAsia="Arial" w:hAnsi="Arial"/>
                <w:sz w:val="20"/>
                <w:szCs w:val="20"/>
                <w:color w:val="auto"/>
              </w:rPr>
              <w:t>Total assets</w:t>
            </w:r>
          </w:p>
        </w:tc>
        <w:tc>
          <w:tcPr>
            <w:tcW w:w="190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auto"/>
              </w:rPr>
              <w:t>$</w:t>
            </w:r>
          </w:p>
        </w:tc>
        <w:tc>
          <w:tcPr>
            <w:tcW w:w="1420" w:type="dxa"/>
            <w:vAlign w:val="bottom"/>
          </w:tcPr>
          <w:p>
            <w:pPr>
              <w:jc w:val="right"/>
              <w:spacing w:after="0" w:line="223" w:lineRule="exact"/>
              <w:rPr>
                <w:sz w:val="20"/>
                <w:szCs w:val="20"/>
                <w:color w:val="auto"/>
              </w:rPr>
            </w:pPr>
            <w:r>
              <w:rPr>
                <w:rFonts w:ascii="Arial" w:cs="Arial" w:eastAsia="Arial" w:hAnsi="Arial"/>
                <w:sz w:val="20"/>
                <w:szCs w:val="20"/>
                <w:color w:val="auto"/>
              </w:rPr>
              <w:t>54,022</w:t>
            </w:r>
          </w:p>
        </w:tc>
        <w:tc>
          <w:tcPr>
            <w:tcW w:w="260" w:type="dxa"/>
            <w:vAlign w:val="bottom"/>
          </w:tcPr>
          <w:p>
            <w:pPr>
              <w:spacing w:after="0"/>
              <w:rPr>
                <w:sz w:val="22"/>
                <w:szCs w:val="22"/>
                <w:color w:val="auto"/>
              </w:rPr>
            </w:pPr>
          </w:p>
        </w:tc>
        <w:tc>
          <w:tcPr>
            <w:tcW w:w="280" w:type="dxa"/>
            <w:vAlign w:val="bottom"/>
          </w:tcPr>
          <w:p>
            <w:pPr>
              <w:jc w:val="right"/>
              <w:ind w:right="61"/>
              <w:spacing w:after="0" w:line="223" w:lineRule="exact"/>
              <w:rPr>
                <w:sz w:val="20"/>
                <w:szCs w:val="20"/>
                <w:color w:val="auto"/>
              </w:rPr>
            </w:pPr>
            <w:r>
              <w:rPr>
                <w:rFonts w:ascii="Arial" w:cs="Arial" w:eastAsia="Arial" w:hAnsi="Arial"/>
                <w:sz w:val="20"/>
                <w:szCs w:val="20"/>
                <w:color w:val="auto"/>
                <w:w w:val="89"/>
              </w:rPr>
              <w:t>$</w:t>
            </w:r>
          </w:p>
        </w:tc>
        <w:tc>
          <w:tcPr>
            <w:tcW w:w="1380" w:type="dxa"/>
            <w:vAlign w:val="bottom"/>
          </w:tcPr>
          <w:p>
            <w:pPr>
              <w:jc w:val="right"/>
              <w:spacing w:after="0" w:line="223" w:lineRule="exact"/>
              <w:rPr>
                <w:sz w:val="20"/>
                <w:szCs w:val="20"/>
                <w:color w:val="auto"/>
              </w:rPr>
            </w:pPr>
            <w:r>
              <w:rPr>
                <w:rFonts w:ascii="Arial" w:cs="Arial" w:eastAsia="Arial" w:hAnsi="Arial"/>
                <w:sz w:val="20"/>
                <w:szCs w:val="20"/>
                <w:color w:val="auto"/>
              </w:rPr>
              <w:t>69,088</w:t>
            </w:r>
          </w:p>
        </w:tc>
        <w:tc>
          <w:tcPr>
            <w:tcW w:w="100" w:type="dxa"/>
            <w:vAlign w:val="bottom"/>
          </w:tcPr>
          <w:p>
            <w:pPr>
              <w:spacing w:after="0"/>
              <w:rPr>
                <w:sz w:val="22"/>
                <w:szCs w:val="22"/>
                <w:color w:val="auto"/>
              </w:rPr>
            </w:pPr>
          </w:p>
        </w:tc>
      </w:tr>
      <w:tr>
        <w:trPr>
          <w:trHeight w:val="223"/>
        </w:trPr>
        <w:tc>
          <w:tcPr>
            <w:tcW w:w="5900" w:type="dxa"/>
            <w:vAlign w:val="bottom"/>
            <w:tcBorders>
              <w:top w:val="single" w:sz="8" w:color="CFF0FC"/>
            </w:tcBorders>
            <w:shd w:val="clear" w:color="auto" w:fill="CFF0FC"/>
          </w:tcPr>
          <w:p>
            <w:pPr>
              <w:spacing w:after="0" w:line="224" w:lineRule="exact"/>
              <w:rPr>
                <w:sz w:val="20"/>
                <w:szCs w:val="20"/>
                <w:color w:val="auto"/>
              </w:rPr>
            </w:pPr>
            <w:r>
              <w:rPr>
                <w:rFonts w:ascii="Arial" w:cs="Arial" w:eastAsia="Arial" w:hAnsi="Arial"/>
                <w:sz w:val="20"/>
                <w:szCs w:val="20"/>
                <w:b w:val="1"/>
                <w:bCs w:val="1"/>
                <w:color w:val="auto"/>
              </w:rPr>
              <w:t>Liabilities and Stockholders’ Equity</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20"/>
                <w:szCs w:val="20"/>
                <w:color w:val="auto"/>
              </w:rPr>
              <w:t>Current liabilities:</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Accounts payable</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527</w:t>
            </w:r>
          </w:p>
        </w:tc>
        <w:tc>
          <w:tcPr>
            <w:tcW w:w="100" w:type="dxa"/>
            <w:vAlign w:val="bottom"/>
            <w:shd w:val="clear" w:color="auto" w:fill="CFF0FC"/>
          </w:tcPr>
          <w:p>
            <w:pPr>
              <w:spacing w:after="0"/>
              <w:rPr>
                <w:sz w:val="19"/>
                <w:szCs w:val="19"/>
                <w:color w:val="auto"/>
              </w:rPr>
            </w:pPr>
          </w:p>
        </w:tc>
      </w:tr>
      <w:tr>
        <w:trPr>
          <w:trHeight w:val="229"/>
        </w:trPr>
        <w:tc>
          <w:tcPr>
            <w:tcW w:w="5900" w:type="dxa"/>
            <w:vAlign w:val="bottom"/>
          </w:tcPr>
          <w:p>
            <w:pPr>
              <w:ind w:left="260"/>
              <w:spacing w:after="0"/>
              <w:rPr>
                <w:sz w:val="20"/>
                <w:szCs w:val="20"/>
                <w:color w:val="auto"/>
              </w:rPr>
            </w:pPr>
            <w:r>
              <w:rPr>
                <w:rFonts w:ascii="Arial" w:cs="Arial" w:eastAsia="Arial" w:hAnsi="Arial"/>
                <w:sz w:val="20"/>
                <w:szCs w:val="20"/>
                <w:color w:val="auto"/>
              </w:rPr>
              <w:t>Accrued research and development</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463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304</w:t>
            </w:r>
          </w:p>
        </w:tc>
        <w:tc>
          <w:tcPr>
            <w:tcW w:w="100" w:type="dxa"/>
            <w:vAlign w:val="bottom"/>
          </w:tcPr>
          <w:p>
            <w:pPr>
              <w:spacing w:after="0"/>
              <w:rPr>
                <w:sz w:val="19"/>
                <w:szCs w:val="19"/>
                <w:color w:val="auto"/>
              </w:rPr>
            </w:pPr>
          </w:p>
        </w:tc>
      </w:tr>
      <w:tr>
        <w:trPr>
          <w:trHeight w:val="243"/>
        </w:trPr>
        <w:tc>
          <w:tcPr>
            <w:tcW w:w="5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Operating lease liability</w:t>
            </w: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r>
      <w:tr>
        <w:trPr>
          <w:trHeight w:val="229"/>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Other current liabilities</w:t>
            </w:r>
          </w:p>
        </w:tc>
        <w:tc>
          <w:tcPr>
            <w:tcW w:w="1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2,455</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3,226</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ind w:left="500"/>
              <w:spacing w:after="0" w:line="223" w:lineRule="exact"/>
              <w:rPr>
                <w:sz w:val="20"/>
                <w:szCs w:val="20"/>
                <w:color w:val="auto"/>
              </w:rPr>
            </w:pPr>
            <w:r>
              <w:rPr>
                <w:rFonts w:ascii="Arial" w:cs="Arial" w:eastAsia="Arial" w:hAnsi="Arial"/>
                <w:sz w:val="20"/>
                <w:szCs w:val="20"/>
                <w:color w:val="auto"/>
              </w:rPr>
              <w:t>Total current liabilities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4,330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4,057</w:t>
            </w:r>
          </w:p>
        </w:tc>
        <w:tc>
          <w:tcPr>
            <w:tcW w:w="100" w:type="dxa"/>
            <w:vAlign w:val="bottom"/>
            <w:shd w:val="clear" w:color="auto" w:fill="CFF0FC"/>
          </w:tcPr>
          <w:p>
            <w:pPr>
              <w:spacing w:after="0"/>
              <w:rPr>
                <w:sz w:val="19"/>
                <w:szCs w:val="19"/>
                <w:color w:val="auto"/>
              </w:rPr>
            </w:pPr>
          </w:p>
        </w:tc>
      </w:tr>
      <w:tr>
        <w:trPr>
          <w:trHeight w:val="229"/>
        </w:trPr>
        <w:tc>
          <w:tcPr>
            <w:tcW w:w="5900" w:type="dxa"/>
            <w:vAlign w:val="bottom"/>
          </w:tcPr>
          <w:p>
            <w:pPr>
              <w:ind w:left="260"/>
              <w:spacing w:after="0"/>
              <w:rPr>
                <w:sz w:val="20"/>
                <w:szCs w:val="20"/>
                <w:color w:val="auto"/>
              </w:rPr>
            </w:pPr>
            <w:r>
              <w:rPr>
                <w:rFonts w:ascii="Arial" w:cs="Arial" w:eastAsia="Arial" w:hAnsi="Arial"/>
                <w:sz w:val="20"/>
                <w:szCs w:val="20"/>
                <w:color w:val="auto"/>
              </w:rPr>
              <w:t>Deferred rent, long term portion</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19"/>
                <w:szCs w:val="19"/>
                <w:color w:val="auto"/>
              </w:rPr>
            </w:pPr>
          </w:p>
        </w:tc>
      </w:tr>
      <w:tr>
        <w:trPr>
          <w:trHeight w:val="223"/>
        </w:trPr>
        <w:tc>
          <w:tcPr>
            <w:tcW w:w="5900" w:type="dxa"/>
            <w:vAlign w:val="bottom"/>
            <w:tcBorders>
              <w:top w:val="single" w:sz="8" w:color="CFF0FC"/>
            </w:tcBorders>
            <w:shd w:val="clear" w:color="auto" w:fill="CFF0FC"/>
          </w:tcPr>
          <w:p>
            <w:pPr>
              <w:ind w:left="500"/>
              <w:spacing w:after="0" w:line="223" w:lineRule="exact"/>
              <w:rPr>
                <w:sz w:val="20"/>
                <w:szCs w:val="20"/>
                <w:color w:val="auto"/>
              </w:rPr>
            </w:pPr>
            <w:r>
              <w:rPr>
                <w:rFonts w:ascii="Arial" w:cs="Arial" w:eastAsia="Arial" w:hAnsi="Arial"/>
                <w:sz w:val="20"/>
                <w:szCs w:val="20"/>
                <w:color w:val="auto"/>
              </w:rPr>
              <w:t>Total liabilities</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4,330</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rPr>
              <w:t>4,065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20"/>
                <w:szCs w:val="20"/>
                <w:color w:val="auto"/>
              </w:rPr>
              <w:t>Stockholders’ Equity:</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Common stock</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20"/>
                <w:szCs w:val="20"/>
                <w:color w:val="auto"/>
              </w:rPr>
              <w:t>Additional paid-in capital</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237,447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234,225</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Accumulated deficit</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(187,578)</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(169,188)</w:t>
            </w:r>
          </w:p>
        </w:tc>
      </w:tr>
      <w:tr>
        <w:trPr>
          <w:trHeight w:val="230"/>
        </w:trPr>
        <w:tc>
          <w:tcPr>
            <w:tcW w:w="5900" w:type="dxa"/>
            <w:vAlign w:val="bottom"/>
          </w:tcPr>
          <w:p>
            <w:pPr>
              <w:ind w:left="260"/>
              <w:spacing w:after="0"/>
              <w:rPr>
                <w:sz w:val="20"/>
                <w:szCs w:val="20"/>
                <w:color w:val="auto"/>
              </w:rPr>
            </w:pPr>
            <w:r>
              <w:rPr>
                <w:rFonts w:ascii="Arial" w:cs="Arial" w:eastAsia="Arial" w:hAnsi="Arial"/>
                <w:sz w:val="20"/>
                <w:szCs w:val="20"/>
                <w:color w:val="auto"/>
              </w:rPr>
              <w:t>Accumulated other comprehensive loss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20"/>
                <w:szCs w:val="20"/>
                <w:color w:val="auto"/>
              </w:rPr>
              <w:t>(179)</w:t>
            </w:r>
          </w:p>
        </w:tc>
        <w:tc>
          <w:tcPr>
            <w:tcW w:w="28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(16)</w:t>
            </w:r>
          </w:p>
        </w:tc>
      </w:tr>
      <w:tr>
        <w:trPr>
          <w:trHeight w:val="236"/>
        </w:trPr>
        <w:tc>
          <w:tcPr>
            <w:tcW w:w="5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Total stockholders’ equity</w:t>
            </w:r>
          </w:p>
        </w:tc>
        <w:tc>
          <w:tcPr>
            <w:tcW w:w="17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49,692</w:t>
            </w:r>
          </w:p>
        </w:tc>
        <w:tc>
          <w:tcPr>
            <w:tcW w:w="26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65,023</w:t>
            </w:r>
          </w:p>
        </w:tc>
        <w:tc>
          <w:tcPr>
            <w:tcW w:w="100" w:type="dxa"/>
            <w:vAlign w:val="bottom"/>
            <w:tcBorders>
              <w:top w:val="single" w:sz="8" w:color="CFF0FC"/>
            </w:tcBorders>
            <w:shd w:val="clear" w:color="auto" w:fill="CFF0FC"/>
          </w:tcPr>
          <w:p>
            <w:pPr>
              <w:spacing w:after="0"/>
              <w:rPr>
                <w:sz w:val="20"/>
                <w:szCs w:val="20"/>
                <w:color w:val="auto"/>
              </w:rPr>
            </w:pPr>
          </w:p>
        </w:tc>
      </w:tr>
      <w:tr>
        <w:trPr>
          <w:trHeight w:val="223"/>
        </w:trPr>
        <w:tc>
          <w:tcPr>
            <w:tcW w:w="5900" w:type="dxa"/>
            <w:vAlign w:val="bottom"/>
          </w:tcPr>
          <w:p>
            <w:pPr>
              <w:ind w:left="500"/>
              <w:spacing w:after="0" w:line="223" w:lineRule="exact"/>
              <w:rPr>
                <w:sz w:val="20"/>
                <w:szCs w:val="20"/>
                <w:color w:val="auto"/>
              </w:rPr>
            </w:pPr>
            <w:r>
              <w:rPr>
                <w:rFonts w:ascii="Arial" w:cs="Arial" w:eastAsia="Arial" w:hAnsi="Arial"/>
                <w:sz w:val="20"/>
                <w:szCs w:val="20"/>
                <w:color w:val="auto"/>
              </w:rPr>
              <w:t>Total liabilities and stockholders’ equity</w:t>
            </w:r>
          </w:p>
        </w:tc>
        <w:tc>
          <w:tcPr>
            <w:tcW w:w="190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auto"/>
              </w:rPr>
              <w:t>$</w:t>
            </w:r>
          </w:p>
        </w:tc>
        <w:tc>
          <w:tcPr>
            <w:tcW w:w="1420" w:type="dxa"/>
            <w:vAlign w:val="bottom"/>
          </w:tcPr>
          <w:p>
            <w:pPr>
              <w:jc w:val="right"/>
              <w:spacing w:after="0" w:line="223" w:lineRule="exact"/>
              <w:rPr>
                <w:sz w:val="20"/>
                <w:szCs w:val="20"/>
                <w:color w:val="auto"/>
              </w:rPr>
            </w:pPr>
            <w:r>
              <w:rPr>
                <w:rFonts w:ascii="Arial" w:cs="Arial" w:eastAsia="Arial" w:hAnsi="Arial"/>
                <w:sz w:val="20"/>
                <w:szCs w:val="20"/>
                <w:color w:val="auto"/>
              </w:rPr>
              <w:t>54,022</w:t>
            </w:r>
          </w:p>
        </w:tc>
        <w:tc>
          <w:tcPr>
            <w:tcW w:w="260" w:type="dxa"/>
            <w:vAlign w:val="bottom"/>
          </w:tcPr>
          <w:p>
            <w:pPr>
              <w:spacing w:after="0"/>
              <w:rPr>
                <w:sz w:val="19"/>
                <w:szCs w:val="19"/>
                <w:color w:val="auto"/>
              </w:rPr>
            </w:pPr>
          </w:p>
        </w:tc>
        <w:tc>
          <w:tcPr>
            <w:tcW w:w="280" w:type="dxa"/>
            <w:vAlign w:val="bottom"/>
          </w:tcPr>
          <w:p>
            <w:pPr>
              <w:jc w:val="right"/>
              <w:ind w:right="61"/>
              <w:spacing w:after="0" w:line="223" w:lineRule="exact"/>
              <w:rPr>
                <w:sz w:val="20"/>
                <w:szCs w:val="20"/>
                <w:color w:val="auto"/>
              </w:rPr>
            </w:pPr>
            <w:r>
              <w:rPr>
                <w:rFonts w:ascii="Arial" w:cs="Arial" w:eastAsia="Arial" w:hAnsi="Arial"/>
                <w:sz w:val="20"/>
                <w:szCs w:val="20"/>
                <w:color w:val="auto"/>
                <w:w w:val="89"/>
              </w:rPr>
              <w:t>$</w:t>
            </w:r>
          </w:p>
        </w:tc>
        <w:tc>
          <w:tcPr>
            <w:tcW w:w="1380" w:type="dxa"/>
            <w:vAlign w:val="bottom"/>
          </w:tcPr>
          <w:p>
            <w:pPr>
              <w:jc w:val="right"/>
              <w:spacing w:after="0" w:line="223" w:lineRule="exact"/>
              <w:rPr>
                <w:sz w:val="20"/>
                <w:szCs w:val="20"/>
                <w:color w:val="auto"/>
              </w:rPr>
            </w:pPr>
            <w:r>
              <w:rPr>
                <w:rFonts w:ascii="Arial" w:cs="Arial" w:eastAsia="Arial" w:hAnsi="Arial"/>
                <w:sz w:val="20"/>
                <w:szCs w:val="20"/>
                <w:color w:val="auto"/>
              </w:rPr>
              <w:t>69,088</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2022-08-11T16:41:43Z</dcterms:created>
  <dcterms:modified xsi:type="dcterms:W3CDTF">2022-08-11T16:41:43Z</dcterms:modified>
</cp:coreProperties>
</file>