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82049ds3.htm"/>
        <w:bookmarkStart w:id="1" w:name="ksd482049ds3"/>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Securities and Exchange Commission on April 4, 2023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CalciMedica,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shd w:fill="auto" w:val="clear"/>
          </w:tcPr>
          <w:p>
            <w:pPr>
              <w:pStyle w:val="TableContents"/>
              <w:spacing w:before="0" w:after="283"/>
              <w:jc w:val="center"/>
              <w:rPr>
                <w:b/>
              </w:rPr>
            </w:pPr>
            <w:r>
              <w:rPr>
                <w:b/>
              </w:rPr>
              <w:t>Delaware</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45-2120079</w:t>
            </w:r>
          </w:p>
        </w:tc>
      </w:tr>
      <w:tr>
        <w:trPr/>
        <w:tc>
          <w:tcPr>
            <w:tcW w:w="515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bl>
    <w:p>
      <w:pPr>
        <w:pStyle w:val="TextBody"/>
        <w:spacing w:before="240" w:after="0"/>
        <w:jc w:val="center"/>
        <w:rPr>
          <w:rFonts w:ascii="Times New Roman" w:hAnsi="Times New Roman"/>
          <w:b/>
          <w:sz w:val="20"/>
        </w:rPr>
      </w:pPr>
      <w:r>
        <w:rPr>
          <w:rFonts w:ascii="Times New Roman" w:hAnsi="Times New Roman"/>
          <w:b/>
          <w:sz w:val="20"/>
        </w:rPr>
        <w:t xml:space="preserve">505 Coast Boulevard South, Suite 307 </w:t>
      </w:r>
    </w:p>
    <w:p>
      <w:pPr>
        <w:pStyle w:val="TextBody"/>
        <w:spacing w:before="0" w:after="0"/>
        <w:jc w:val="center"/>
        <w:rPr>
          <w:rFonts w:ascii="Times New Roman" w:hAnsi="Times New Roman"/>
          <w:b/>
          <w:sz w:val="20"/>
        </w:rPr>
      </w:pPr>
      <w:r>
        <w:rPr>
          <w:rFonts w:ascii="Times New Roman" w:hAnsi="Times New Roman"/>
          <w:b/>
          <w:sz w:val="20"/>
        </w:rPr>
        <w:t xml:space="preserve">La Jolla, California 92037 </w:t>
      </w:r>
    </w:p>
    <w:p>
      <w:pPr>
        <w:pStyle w:val="TextBody"/>
        <w:spacing w:before="0" w:after="0"/>
        <w:jc w:val="center"/>
        <w:rPr>
          <w:rFonts w:ascii="Times New Roman" w:hAnsi="Times New Roman"/>
          <w:b/>
          <w:sz w:val="20"/>
        </w:rPr>
      </w:pPr>
      <w:r>
        <w:rPr>
          <w:rFonts w:ascii="Times New Roman" w:hAnsi="Times New Roman"/>
          <w:b/>
          <w:sz w:val="20"/>
        </w:rPr>
        <w:t xml:space="preserve">(858) 952-5500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A. Rachel Leheny, Ph.D. </w:t>
      </w:r>
    </w:p>
    <w:p>
      <w:pPr>
        <w:pStyle w:val="TextBody"/>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505 Coast Boulevard South, Suite 307 </w:t>
      </w:r>
    </w:p>
    <w:p>
      <w:pPr>
        <w:pStyle w:val="TextBody"/>
        <w:spacing w:before="0" w:after="0"/>
        <w:jc w:val="center"/>
        <w:rPr>
          <w:rFonts w:ascii="Times New Roman" w:hAnsi="Times New Roman"/>
          <w:b/>
          <w:sz w:val="20"/>
        </w:rPr>
      </w:pPr>
      <w:r>
        <w:rPr>
          <w:rFonts w:ascii="Times New Roman" w:hAnsi="Times New Roman"/>
          <w:b/>
          <w:sz w:val="20"/>
        </w:rPr>
        <w:t xml:space="preserve">La Jolla, California 92037 </w:t>
      </w:r>
    </w:p>
    <w:p>
      <w:pPr>
        <w:pStyle w:val="TextBody"/>
        <w:spacing w:before="0" w:after="0"/>
        <w:jc w:val="center"/>
        <w:rPr>
          <w:rFonts w:ascii="Times New Roman" w:hAnsi="Times New Roman"/>
          <w:b/>
          <w:sz w:val="20"/>
        </w:rPr>
      </w:pPr>
      <w:r>
        <w:rPr>
          <w:rFonts w:ascii="Times New Roman" w:hAnsi="Times New Roman"/>
          <w:b/>
          <w:sz w:val="20"/>
        </w:rPr>
        <w:t xml:space="preserve">(858) 952-5500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i/>
          <w:sz w:val="20"/>
        </w:rPr>
      </w:pPr>
      <w:r>
        <w:rPr>
          <w:rFonts w:ascii="Times New Roman" w:hAnsi="Times New Roman"/>
          <w:b/>
          <w:i/>
          <w:sz w:val="20"/>
        </w:rPr>
        <w:t xml:space="preserve">Copies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Thomas A. Coll</w:t>
            </w:r>
          </w:p>
          <w:p>
            <w:pPr>
              <w:pStyle w:val="TableContents"/>
              <w:spacing w:before="0" w:after="0"/>
              <w:jc w:val="center"/>
              <w:rPr>
                <w:rFonts w:ascii="Times New Roman" w:hAnsi="Times New Roman"/>
                <w:b/>
                <w:sz w:val="20"/>
              </w:rPr>
            </w:pPr>
            <w:r>
              <w:rPr>
                <w:rFonts w:ascii="Times New Roman" w:hAnsi="Times New Roman"/>
                <w:b/>
                <w:sz w:val="20"/>
              </w:rPr>
              <w:t>Carlos Ramirez</w:t>
            </w:r>
          </w:p>
          <w:p>
            <w:pPr>
              <w:pStyle w:val="TableContents"/>
              <w:spacing w:before="0" w:after="0"/>
              <w:jc w:val="center"/>
              <w:rPr>
                <w:rFonts w:ascii="Times New Roman" w:hAnsi="Times New Roman"/>
                <w:b/>
                <w:sz w:val="20"/>
              </w:rPr>
            </w:pPr>
            <w:r>
              <w:rPr>
                <w:rFonts w:ascii="Times New Roman" w:hAnsi="Times New Roman"/>
                <w:b/>
                <w:sz w:val="20"/>
              </w:rPr>
              <w:t>Cooley LLP</w:t>
            </w:r>
          </w:p>
          <w:p>
            <w:pPr>
              <w:pStyle w:val="TableContents"/>
              <w:spacing w:before="0" w:after="0"/>
              <w:jc w:val="center"/>
              <w:rPr>
                <w:rFonts w:ascii="Times New Roman" w:hAnsi="Times New Roman"/>
                <w:b/>
                <w:sz w:val="20"/>
              </w:rPr>
            </w:pPr>
            <w:r>
              <w:rPr>
                <w:rFonts w:ascii="Times New Roman" w:hAnsi="Times New Roman"/>
                <w:b/>
                <w:sz w:val="20"/>
              </w:rPr>
              <w:t>10265 Science Center Drive</w:t>
            </w:r>
          </w:p>
          <w:p>
            <w:pPr>
              <w:pStyle w:val="TableContents"/>
              <w:spacing w:before="0" w:after="0"/>
              <w:jc w:val="center"/>
              <w:rPr>
                <w:rFonts w:ascii="Times New Roman" w:hAnsi="Times New Roman"/>
                <w:b/>
                <w:sz w:val="20"/>
              </w:rPr>
            </w:pPr>
            <w:r>
              <w:rPr>
                <w:rFonts w:ascii="Times New Roman" w:hAnsi="Times New Roman"/>
                <w:b/>
                <w:sz w:val="20"/>
              </w:rPr>
              <w:t>San Diego, California 92121</w:t>
            </w:r>
          </w:p>
          <w:p>
            <w:pPr>
              <w:pStyle w:val="TableContents"/>
              <w:spacing w:before="0" w:after="20"/>
              <w:jc w:val="center"/>
              <w:rPr>
                <w:rFonts w:ascii="Times New Roman" w:hAnsi="Times New Roman"/>
                <w:b/>
                <w:sz w:val="20"/>
              </w:rPr>
            </w:pPr>
            <w:r>
              <w:rPr>
                <w:rFonts w:ascii="Times New Roman" w:hAnsi="Times New Roman"/>
                <w:b/>
                <w:sz w:val="20"/>
              </w:rPr>
              <w:t>(858) 550-6000</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John M. Dunn</w:t>
            </w:r>
          </w:p>
          <w:p>
            <w:pPr>
              <w:pStyle w:val="TableContents"/>
              <w:spacing w:before="0" w:after="0"/>
              <w:jc w:val="center"/>
              <w:rPr>
                <w:rFonts w:ascii="Times New Roman" w:hAnsi="Times New Roman"/>
                <w:b/>
                <w:sz w:val="20"/>
              </w:rPr>
            </w:pPr>
            <w:r>
              <w:rPr>
                <w:rFonts w:ascii="Times New Roman" w:hAnsi="Times New Roman"/>
                <w:b/>
                <w:sz w:val="20"/>
              </w:rPr>
              <w:t>General Counsel</w:t>
            </w:r>
          </w:p>
          <w:p>
            <w:pPr>
              <w:pStyle w:val="TableContents"/>
              <w:spacing w:before="0" w:after="0"/>
              <w:jc w:val="center"/>
              <w:rPr>
                <w:rFonts w:ascii="Times New Roman" w:hAnsi="Times New Roman"/>
                <w:b/>
                <w:sz w:val="20"/>
              </w:rPr>
            </w:pPr>
            <w:r>
              <w:rPr>
                <w:rFonts w:ascii="Times New Roman" w:hAnsi="Times New Roman"/>
                <w:b/>
                <w:sz w:val="20"/>
              </w:rPr>
              <w:t>505 Coast Boulevard South, Suite 307</w:t>
            </w:r>
          </w:p>
          <w:p>
            <w:pPr>
              <w:pStyle w:val="TableContents"/>
              <w:spacing w:before="0" w:after="0"/>
              <w:jc w:val="center"/>
              <w:rPr>
                <w:rFonts w:ascii="Times New Roman" w:hAnsi="Times New Roman"/>
                <w:b/>
                <w:sz w:val="20"/>
              </w:rPr>
            </w:pPr>
            <w:r>
              <w:rPr>
                <w:rFonts w:ascii="Times New Roman" w:hAnsi="Times New Roman"/>
                <w:b/>
                <w:sz w:val="20"/>
              </w:rPr>
              <w:t>La Jolla, California 92037</w:t>
            </w:r>
          </w:p>
          <w:p>
            <w:pPr>
              <w:pStyle w:val="TableContents"/>
              <w:spacing w:before="0" w:after="20"/>
              <w:jc w:val="center"/>
              <w:rPr>
                <w:rFonts w:ascii="Times New Roman" w:hAnsi="Times New Roman"/>
                <w:b/>
                <w:sz w:val="20"/>
              </w:rPr>
            </w:pPr>
            <w:r>
              <w:rPr>
                <w:rFonts w:ascii="Times New Roman" w:hAnsi="Times New Roman"/>
                <w:b/>
                <w:sz w:val="20"/>
              </w:rPr>
              <w:t>(858) 952-5500</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the effective date of this Registration Statement. </w:t>
      </w:r>
    </w:p>
    <w:p>
      <w:pPr>
        <w:pStyle w:val="TextBody"/>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240" w:after="0"/>
        <w:jc w:val="left"/>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4, 2023 </w:t>
      </w:r>
    </w:p>
    <w:p>
      <w:pPr>
        <w:pStyle w:val="TextBody"/>
        <w:spacing w:before="120" w:after="0"/>
        <w:jc w:val="left"/>
        <w:rPr>
          <w:rFonts w:ascii="Times New Roman" w:hAnsi="Times New Roman"/>
          <w:b/>
          <w:sz w:val="20"/>
        </w:rPr>
      </w:pPr>
      <w:r>
        <w:rPr>
          <w:rFonts w:ascii="Times New Roman" w:hAnsi="Times New Roman"/>
          <w:b/>
          <w:sz w:val="20"/>
        </w:rPr>
        <w:t xml:space="preserve">PRELIMINARY PROSPECTUS </w:t>
      </w:r>
    </w:p>
    <w:p>
      <w:pPr>
        <w:pStyle w:val="TextBody"/>
        <w:spacing w:before="0" w:after="0"/>
        <w:jc w:val="left"/>
        <w:rPr/>
      </w:pPr>
      <w:r>
        <w:rPr/>
        <w:t> </w:t>
      </w:r>
    </w:p>
    <w:p>
      <w:pPr>
        <w:pStyle w:val="TextBody"/>
        <w:spacing w:before="0" w:after="0"/>
        <w:jc w:val="center"/>
        <w:rPr/>
      </w:pPr>
      <w:r>
        <w:rPr/>
        <w:drawing>
          <wp:inline distT="0" distB="0" distL="0" distR="0">
            <wp:extent cx="31337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33725" cy="64770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8"/>
        </w:rPr>
      </w:pPr>
      <w:r>
        <w:rPr>
          <w:rFonts w:ascii="Times New Roman" w:hAnsi="Times New Roman"/>
          <w:b/>
          <w:sz w:val="28"/>
        </w:rPr>
        <w:t xml:space="preserve">4,220,995 Shares 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proposed resale from time to time by the selling stockholders named herein, together with any of such stockholders transferees, pledgees, donees or successors, of 4,220,995 shares of our common stock, par value $0.0001 per share (which includes 274,455 shares of our common stock that are issuable upon the exercise of 274,455 warrants). The selling stockholders acquired these shares and/or warrants from us pursuant to an Agreement and Plan of Merger and Reorganization, dated as of November 21, 2022, as amended on February 10, 2023 (the Merger Agreement), by and among Graybug Vision, Inc., Camaro Merger Sub, Inc. and CalciMedica, Inc. </w:t>
      </w:r>
    </w:p>
    <w:p>
      <w:pPr>
        <w:pStyle w:val="TextBody"/>
        <w:spacing w:before="240" w:after="0"/>
        <w:jc w:val="left"/>
        <w:rPr>
          <w:rFonts w:ascii="Times New Roman" w:hAnsi="Times New Roman"/>
          <w:sz w:val="20"/>
        </w:rPr>
      </w:pPr>
      <w:r>
        <w:rPr>
          <w:rFonts w:ascii="Times New Roman" w:hAnsi="Times New Roman"/>
          <w:sz w:val="20"/>
        </w:rPr>
        <w:t xml:space="preserve">We are not selling any of our common stock pursuant to this prospectus, and we will not receive any proceeds from the sale of our common stock offered by this prospectus by the selling stockholders. We will, however, receive the net proceeds of any warrants exercised for cash. </w:t>
      </w:r>
    </w:p>
    <w:p>
      <w:pPr>
        <w:pStyle w:val="TextBody"/>
        <w:spacing w:before="240" w:after="0"/>
        <w:jc w:val="left"/>
        <w:rPr>
          <w:rFonts w:ascii="Times New Roman" w:hAnsi="Times New Roman"/>
          <w:sz w:val="20"/>
        </w:rPr>
      </w:pPr>
      <w:r>
        <w:rPr>
          <w:rFonts w:ascii="Times New Roman" w:hAnsi="Times New Roman"/>
          <w:sz w:val="20"/>
        </w:rPr>
        <w:t xml:space="preserve">The selling stockholders may offer and sell or otherwise dispose of the shares of our common stock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 of our common stock. </w:t>
      </w:r>
    </w:p>
    <w:p>
      <w:pPr>
        <w:pStyle w:val="TextBody"/>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trading symbol CALC. Trading of our common stock was suspended on The Nasdaq Global Market at the open of the market on March 30, 2023, and on March 31, 2023, our common stock began trading on the over-the-counter market. On April 3, 2023, the last reported sales price of our common stock on the over-the-counter market was $3.52 per share (symbol: CALC). See the section titled Stock Exchange Listing beginning on page 2 for additional information regarding our stock exchange listing and appeal process with the Nasdaq Stock Market LLC with respect to our listing.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our common stock involves a high degree of risk. You should review carefully the risks and uncertainties described under the heading </w:t>
      </w:r>
      <w:hyperlink w:anchor="tx482049_3">
        <w:r>
          <w:rPr>
            <w:rStyle w:val="InternetLink"/>
            <w:rFonts w:ascii="Times New Roman" w:hAnsi="Times New Roman"/>
            <w:b/>
            <w:sz w:val="24"/>
          </w:rPr>
          <w:t>Risk Factors</w:t>
        </w:r>
      </w:hyperlink>
      <w:r>
        <w:rPr>
          <w:rFonts w:ascii="Times New Roman" w:hAnsi="Times New Roman"/>
          <w:b/>
          <w:sz w:val="24"/>
        </w:rPr>
        <w:t xml:space="preserve"> on page 5 of this prospectus, and under similar headings in the other documents that are incorporated by reference into this prospectus.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4"/>
        <w:gridCol w:w="167"/>
        <w:gridCol w:w="60"/>
        <w:gridCol w:w="261"/>
        <w:gridCol w:w="63"/>
      </w:tblGrid>
      <w:tr>
        <w:trPr/>
        <w:tc>
          <w:tcPr>
            <w:tcW w:w="965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x482049_1">
              <w:r>
                <w:rPr>
                  <w:rStyle w:val="InternetLink"/>
                  <w:rFonts w:ascii="Times New Roman" w:hAnsi="Times New Roman"/>
                  <w:sz w:val="20"/>
                </w:rPr>
                <w:t>ABOUT THIS PROSPECTUS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2">
              <w:r>
                <w:rPr>
                  <w:rStyle w:val="InternetLink"/>
                  <w:rFonts w:ascii="Times New Roman" w:hAnsi="Times New Roman"/>
                  <w:sz w:val="20"/>
                </w:rPr>
                <w:t>PROSPECTUS SUMMARY</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3">
              <w:r>
                <w:rPr>
                  <w:rStyle w:val="InternetLink"/>
                  <w:rFonts w:ascii="Times New Roman" w:hAnsi="Times New Roman"/>
                  <w:sz w:val="20"/>
                </w:rPr>
                <w:t>RISK FACTORS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4">
              <w:r>
                <w:rPr>
                  <w:rStyle w:val="InternetLink"/>
                  <w:rFonts w:ascii="Times New Roman" w:hAnsi="Times New Roman"/>
                  <w:sz w:val="20"/>
                </w:rPr>
                <w:t>SPECIAL NOTE REGARDING FORWARD-LOOKING STATEMENTS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5">
              <w:r>
                <w:rPr>
                  <w:rStyle w:val="InternetLink"/>
                  <w:rFonts w:ascii="Times New Roman" w:hAnsi="Times New Roman"/>
                  <w:sz w:val="20"/>
                </w:rPr>
                <w:t>USE OF PROCEEDS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6">
              <w:r>
                <w:rPr>
                  <w:rStyle w:val="InternetLink"/>
                  <w:rFonts w:ascii="Times New Roman" w:hAnsi="Times New Roman"/>
                  <w:sz w:val="20"/>
                </w:rPr>
                <w:t>DESCRIPTION OF CAPITAL STOCK</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7">
              <w:r>
                <w:rPr>
                  <w:rStyle w:val="InternetLink"/>
                  <w:rFonts w:ascii="Times New Roman" w:hAnsi="Times New Roman"/>
                  <w:sz w:val="20"/>
                </w:rPr>
                <w:t>SELLING STOCKHOLDERS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8">
              <w:r>
                <w:rPr>
                  <w:rStyle w:val="InternetLink"/>
                  <w:rFonts w:ascii="Times New Roman" w:hAnsi="Times New Roman"/>
                  <w:sz w:val="20"/>
                </w:rPr>
                <w:t>PLAN OF DISTRIBUTION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9">
              <w:r>
                <w:rPr>
                  <w:rStyle w:val="InternetLink"/>
                  <w:rFonts w:ascii="Times New Roman" w:hAnsi="Times New Roman"/>
                  <w:sz w:val="20"/>
                </w:rPr>
                <w:t>LEGAL MATTERS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10">
              <w:r>
                <w:rPr>
                  <w:rStyle w:val="InternetLink"/>
                  <w:rFonts w:ascii="Times New Roman" w:hAnsi="Times New Roman"/>
                  <w:sz w:val="20"/>
                </w:rPr>
                <w:t>EXPERTS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11">
              <w:r>
                <w:rPr>
                  <w:rStyle w:val="InternetLink"/>
                  <w:rFonts w:ascii="Times New Roman" w:hAnsi="Times New Roman"/>
                  <w:sz w:val="20"/>
                </w:rPr>
                <w:t>WHERE YOU CAN FIND ADDITIONAL INFORMATION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x482049_12">
              <w:r>
                <w:rPr>
                  <w:rStyle w:val="InternetLink"/>
                  <w:rFonts w:ascii="Times New Roman" w:hAnsi="Times New Roman"/>
                  <w:sz w:val="20"/>
                </w:rPr>
                <w:t>INCORPORATION OF CERTAIN INFORMATION BY REFERENCE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x482049_1"/>
      <w:bookmarkEnd w:id="3"/>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provide you with any information other than that contained in, or incorporated by reference into, this prospectus. We take no responsibility for, and can provide no assurance as to the reliability of, any other information that others may give you. This prospectus is an offer to sell only the shares of our common stock offered hereby, but only under circumstances and in jurisdictions where it is lawful to do so. You should not assume that the information contained in or incorporated by reference in this prospectus is accurate as of any date other than their respective dates. Our business, financial condition, results of operations and prospects may have changed since those dates. </w:t>
      </w:r>
    </w:p>
    <w:p>
      <w:pPr>
        <w:pStyle w:val="TextBody"/>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 </w:t>
      </w:r>
    </w:p>
    <w:p>
      <w:pPr>
        <w:pStyle w:val="TextBody"/>
        <w:spacing w:before="240" w:after="0"/>
        <w:jc w:val="left"/>
        <w:rPr>
          <w:rFonts w:ascii="Times New Roman" w:hAnsi="Times New Roman"/>
          <w:sz w:val="20"/>
        </w:rPr>
      </w:pPr>
      <w:r>
        <w:rPr>
          <w:rFonts w:ascii="Times New Roman" w:hAnsi="Times New Roman"/>
          <w:sz w:val="20"/>
        </w:rPr>
        <w:t xml:space="preserve">Unless the context indicates otherwise, as used in this prospectus, the terms Company, we, us, and our refer to (i) Graybug Vision, Inc., for periods prior to the effectiveness of the Merger and (ii) CalciMedica, Inc. for periods following the effectiveness of the Merger.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tx482049_2"/>
      <w:bookmarkEnd w:id="4"/>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w:t>
      </w:r>
      <w:r>
        <w:rPr>
          <w:rFonts w:ascii="Times New Roman" w:hAnsi="Times New Roman"/>
          <w:sz w:val="20"/>
          <w:bdr w:val="single" w:sz="8" w:space="1" w:color="000000"/>
        </w:rPr>
        <w:t></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contained in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developing therapies for life-threatening inflammatory diseases with high unmet need. Our proprietary technology targets the inhibition of calcium-release activated calcium (CRAC) channels designed to modulate the immune response and protect against tissue cell injury, with the potential to provide therapeutic benefits in life-threatening inflammatory diseases for which there are currently no approved therapies. Our lead product candidate Auxora, a proprietary, intravenous-formulated CRAC channel inhibitor, has demonstrated positive and consistent clinical results and has been well-tolerated in four completed efficacy clinical trials. Auxora is in development for acute pancreatitis and asparaginase-associated pancreatitis.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Merger Agreement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20, 2023, the Company (f/k/a Graybug Vision, Inc.) completed its previously announced merger transaction in accordance with the terms and conditions of the Agreement and Plan of Merger and Reorganization, dated as of November 21, 2022, as amended on February 10, 2023 (the Merger Agreement), by and among Graybug Vision, Inc. (Graybug), Camaro Merger Sub, Inc., a wholly owned subsidiary of Graybug (Merger Sub), and CalciMedica, Inc. (CalciMedica), pursuant to which Merger Sub merged with and into CalciMedica, with CalciMedica surviving the merger as a wholly owned subsidiary of Graybug (the Merger). Following the consummation of the Merger, the business previously conducted by CalciMedica became the business conducted by the Company.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of the Merger, each outstanding share of CalciMedica capital stock (after giving effect to the automatic conversion of all shares of CalciMedica preferred stock into shares of CalciMedica common stock (preferred stock conversion), the automatic exercise of certain CalciMedica warrants to purchase shares of CalciMedica capital stock in accordance with their terms (the CalciMedica warrant exercises), the conversion of CalciMedica convertible promissory notes, as may be amended, into CalciMedica common stock pursuant to their terms (convertible promissory note conversion) and the closing of the private placement (as defined below), and excluding any shares held as treasury stock by CalciMedica or held or owned by Graybug or any subsidiary of Graybug or CalciMedica and any dissenting shares) was converted into the right to receive 0.0288 shares of Graybug common stock, which resulted in the issuance by Graybug of an aggregate of 3,946,540 shares of Graybug common stock to the stockholders of CalciMedica in a transaction exempt from registration under the Securities Act of 1933, as amended (the Securities Act), in reliance on Section 4(a)(2) of the Securities Act and the rules promulgated thereunder. In addition, Graybug assumed the CalciMedica 2006 Stock Plan and each outstanding and unexercised option to purchase CalciMedica common stock and each outstanding and unexercised warrant to purchase CalciMedica capital stock (excluding the warrants which were automatically exercised pursuant to the CalciMedica warrant exercises) which became options and warrants to purchase shares of Graybug common stock.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was treated as a reverse recapitalization under U.S. generally accepted accounting principles. CalciMedica is considered the accounting acquirer for financial reporting purposes.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consummation of the Merger, CalciMedica completed a private placement financing pursuant to which certain investors purchased approximately 20.7 million shares of CalciMedica common stock for an aggregate purchase price of $10.3 million (the private placement).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consummation of the Merger, CalciMedica filed a Certificate of Amendment to its Amended and Restated Certificate of Incorporation changing its name from CalciMedica, Inc. to CalciMedica Subsidiary, Inc. and Graybug filed a Certificate of Amendment to the Graybug Charter changing its name from Graybug Vision, Inc. to CalciMedica, Inc. The Companys common stock commenced trading on The Nasdaq Global Market under the ticker symbol CALC on March 21,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Proceeds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not receive any of the proceeds from the sale of shares of our common stock by the selling stockholders in this offering. The selling stockholders will receive all of the proceeds from the sale of shares of our common stock hereunder. We will, however, receive the net proceeds of any warrants exercised for cash.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Exchange Listing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Companys common stock is listed on The Nasdaq Global Market under the symbol CALC. Trading of the Companys common stock was suspended on The Nasdaq Global Market at the open of the market on March 30, 2023, and on April 3, 2023, the Companys common stock began trading on the over-the-counter market.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21, 2023, the Company received written notice (the Notice) from the Staff of the Listing Qualifications Department (the Staff) of The Nasdaq Stock Market LLC (Nasdaq) stating that the Staff has determined that the Company has not complied with the requirements of Nasdaq Listing Rule 5110(a) because the Company did not demonstrate compliance with all of the requirements for initial listing on Nasdaq concurrent with closing the merger transaction. Specifically, the Company did not meet the minimum stockholders equity requirement pursuant to Nasdaq Listing Rule 5405(b)(2)(A), the Market Value of Unrestricted Publicly Held Shares requirement under Nasdaq Listing Rule 5405(b)(2)(C), or any of the alternatives under Nasdaq Listing Rule 5405(b) (collectively, the Exchange Requirements). The Notice indicated that Companys common stock would be suspended from Nasdaq on March 30, 2023.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28, 2023, the Company appealed the Staffs determination to a Hearings Panel (the Panel) pursuant to the procedures set forth in the Nasdaq Listing Rule 5800 Series by requesting a hearing before the Panel. Notwithstanding the appeal, the trading suspension was implemented at the open of the market on March 30, 2023, and the Companys common stock began trading on the over-the-counter market on April 3, 2023. In the event the Company is successful in the appeal, the trading suspension may be terminated, thereby allowing trading in the Companys securities to resume on Nasdaq. On April 3, 2023 the last reported sales price of the common stock on the over-the-counter market was $3.52 per share (symbol: CALC).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is working diligently to satisfy the Exchange Requirements (on the Nasdaq Global Market or Nasdaq Capital Market) in a timely manner.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Smaller Reporting Company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Sarbanes-Oxley Act,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 We may take advantage of these exemptions until December 31, 2025 or until we are no longer an emerging growth company, whichever is earlier. We will cease to be an emerging growth company prior to the end of such period if certain earlier events occur, including if we become a large accelerated filer as defined in Rule 12b-2 under the Securities Exchange Act of 1934, as amended, or Exchange Act, our annual gross revenues exceed $1.235 billion or we issue more than $1.0 billion of non-convertible debt in any three-year period.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accounting standards that have different effective dates for public and private companies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we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State of Delaware in February 2015 under the name Graybug, Inc. upon the conversion of Graybug LLC, a Maryland Limited Liability Company organized in May 2011. We subsequently changed our name to Graybug Vision, Inc. in 2016 and to CalciMedica, Inc. on March 20, 2023. Our principal executive offices are located at 505 Coast Boulevard South, Suite 130, La Jolla, California 92037, and our telephone number is (858) 952-5500. Our website is https://calcimedica.com. The information contained in, or that can be accessed through, our website is not part of, and is not incorporated into, this prospectus and should not be considered part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The Offering </w:t>
      </w:r>
    </w:p>
    <w:p>
      <w:pPr>
        <w:pStyle w:val="TextBody"/>
        <w:spacing w:before="0" w:after="0"/>
        <w:jc w:val="left"/>
        <w:rPr>
          <w:bdr w:val="single" w:sz="2" w:space="2" w:color="000000"/>
        </w:rPr>
      </w:pPr>
      <w:r>
        <w:rPr>
          <w:bdr w:val="single" w:sz="2" w:space="2" w:color="000000"/>
        </w:rPr>
        <w:t> </w:t>
      </w:r>
    </w:p>
    <w:tbl>
      <w:tblPr>
        <w:tblW w:w="4950" w:type="pct"/>
        <w:jc w:val="right"/>
        <w:tblInd w:w="0" w:type="dxa"/>
        <w:tblCellMar>
          <w:top w:w="0" w:type="dxa"/>
          <w:left w:w="0" w:type="dxa"/>
          <w:bottom w:w="0" w:type="dxa"/>
          <w:right w:w="0" w:type="dxa"/>
        </w:tblCellMar>
      </w:tblPr>
      <w:tblGrid>
        <w:gridCol w:w="2928"/>
        <w:gridCol w:w="121"/>
        <w:gridCol w:w="7053"/>
      </w:tblGrid>
      <w:tr>
        <w:trPr/>
        <w:tc>
          <w:tcPr>
            <w:tcW w:w="292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7053" w:type="dxa"/>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283"/>
              <w:rPr/>
            </w:pPr>
            <w:r>
              <w:rPr/>
              <w:t>Common stock offered by the selling stockholders</w:t>
            </w:r>
          </w:p>
        </w:tc>
        <w:tc>
          <w:tcPr>
            <w:tcW w:w="121" w:type="dxa"/>
            <w:tcBorders/>
            <w:shd w:fill="auto" w:val="clear"/>
            <w:vAlign w:val="bottom"/>
          </w:tcPr>
          <w:p>
            <w:pPr>
              <w:pStyle w:val="TableContents"/>
              <w:spacing w:before="0" w:after="283"/>
              <w:rPr/>
            </w:pPr>
            <w:r>
              <w:rPr/>
              <w:t>  </w:t>
            </w:r>
          </w:p>
        </w:tc>
        <w:tc>
          <w:tcPr>
            <w:tcW w:w="7053" w:type="dxa"/>
            <w:tcBorders/>
            <w:shd w:fill="auto" w:val="clear"/>
          </w:tcPr>
          <w:p>
            <w:pPr>
              <w:pStyle w:val="TableContents"/>
              <w:spacing w:before="0" w:after="283"/>
              <w:rPr/>
            </w:pPr>
            <w:r>
              <w:rPr/>
              <w:t>4,220,995 shares (including 274,455 shares of common stock issuable upon the exercise of warrants)</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174"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283"/>
              <w:rPr/>
            </w:pPr>
            <w:r>
              <w:rPr/>
              <w:t>Use of Proceeds</w:t>
            </w:r>
          </w:p>
        </w:tc>
        <w:tc>
          <w:tcPr>
            <w:tcW w:w="121" w:type="dxa"/>
            <w:tcBorders/>
            <w:shd w:fill="auto" w:val="clear"/>
            <w:vAlign w:val="bottom"/>
          </w:tcPr>
          <w:p>
            <w:pPr>
              <w:pStyle w:val="TableContents"/>
              <w:spacing w:before="0" w:after="283"/>
              <w:rPr/>
            </w:pPr>
            <w:r>
              <w:rPr/>
              <w:t>  </w:t>
            </w:r>
          </w:p>
        </w:tc>
        <w:tc>
          <w:tcPr>
            <w:tcW w:w="7053" w:type="dxa"/>
            <w:tcBorders/>
            <w:shd w:fill="auto" w:val="clear"/>
          </w:tcPr>
          <w:p>
            <w:pPr>
              <w:pStyle w:val="TableContents"/>
              <w:spacing w:before="0" w:after="283"/>
              <w:rPr/>
            </w:pPr>
            <w:r>
              <w:rPr/>
              <w:t>We will not receive any proceeds from the sale of the shares of common stock covered by this prospectus. We will, however, receive the net proceeds of any warrants exercised for cash.</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174"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283"/>
              <w:rPr/>
            </w:pPr>
            <w:r>
              <w:rPr/>
              <w:t>Nasdaq Global Market symbol</w:t>
            </w:r>
          </w:p>
        </w:tc>
        <w:tc>
          <w:tcPr>
            <w:tcW w:w="121" w:type="dxa"/>
            <w:tcBorders/>
            <w:shd w:fill="auto" w:val="clear"/>
            <w:vAlign w:val="bottom"/>
          </w:tcPr>
          <w:p>
            <w:pPr>
              <w:pStyle w:val="TableContents"/>
              <w:spacing w:before="0" w:after="283"/>
              <w:rPr/>
            </w:pPr>
            <w:r>
              <w:rPr/>
              <w:t>  </w:t>
            </w:r>
          </w:p>
        </w:tc>
        <w:tc>
          <w:tcPr>
            <w:tcW w:w="7053" w:type="dxa"/>
            <w:tcBorders/>
            <w:shd w:fill="auto" w:val="clear"/>
          </w:tcPr>
          <w:p>
            <w:pPr>
              <w:pStyle w:val="TableContents"/>
              <w:spacing w:before="0" w:after="0"/>
              <w:rPr>
                <w:rFonts w:ascii="Times New Roman" w:hAnsi="Times New Roman"/>
                <w:sz w:val="20"/>
              </w:rPr>
            </w:pPr>
            <w:r>
              <w:rPr>
                <w:rFonts w:ascii="Times New Roman" w:hAnsi="Times New Roman"/>
                <w:sz w:val="20"/>
              </w:rPr>
              <w:t>CALC.</w:t>
            </w:r>
          </w:p>
          <w:p>
            <w:pPr>
              <w:pStyle w:val="TableContents"/>
              <w:spacing w:before="0" w:after="0"/>
              <w:rPr/>
            </w:pPr>
            <w:r>
              <w:rPr/>
              <w:t> </w:t>
            </w:r>
          </w:p>
          <w:p>
            <w:pPr>
              <w:pStyle w:val="TableContents"/>
              <w:spacing w:before="120" w:after="20"/>
              <w:rPr>
                <w:rFonts w:ascii="Times New Roman" w:hAnsi="Times New Roman"/>
                <w:sz w:val="20"/>
              </w:rPr>
            </w:pPr>
            <w:r>
              <w:rPr>
                <w:rFonts w:ascii="Times New Roman" w:hAnsi="Times New Roman"/>
                <w:sz w:val="20"/>
              </w:rPr>
              <w:t>Trading of our common stock was suspended on The Nasdaq Global Market at the open of the market on March 30, 2023, and on April 3, 2023, our common stock began trading on the over-the-counter market. On April 3, 2023, the last reported sales price of our common stock on the over-the-counter market was $3.52 per share. See the section titled Stock Exchange Listing beginning on page 2 for additional information regarding our stock exchange listing and appeal process with the Nasdaq Stock Market LLC with respect to our listing.</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174"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283"/>
              <w:rPr/>
            </w:pPr>
            <w:r>
              <w:rPr/>
              <w:t>Risk Factors</w:t>
            </w:r>
          </w:p>
        </w:tc>
        <w:tc>
          <w:tcPr>
            <w:tcW w:w="121" w:type="dxa"/>
            <w:tcBorders/>
            <w:shd w:fill="auto" w:val="clear"/>
            <w:vAlign w:val="bottom"/>
          </w:tcPr>
          <w:p>
            <w:pPr>
              <w:pStyle w:val="TableContents"/>
              <w:spacing w:before="0" w:after="283"/>
              <w:rPr/>
            </w:pPr>
            <w:r>
              <w:rPr/>
              <w:t>  </w:t>
            </w:r>
          </w:p>
        </w:tc>
        <w:tc>
          <w:tcPr>
            <w:tcW w:w="7053" w:type="dxa"/>
            <w:tcBorders/>
            <w:shd w:fill="auto" w:val="clear"/>
          </w:tcPr>
          <w:p>
            <w:pPr>
              <w:pStyle w:val="TableContents"/>
              <w:spacing w:before="0" w:after="283"/>
              <w:rPr/>
            </w:pPr>
            <w:r>
              <w:rPr/>
              <w:t>See Risk Factors on page 5 of this prospectus, and under similar headings in the other documents that are incorporated by reference into this prospectus for a discussion of the factors you should consider before deciding to invest in shares of our common stock.</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x482049_3"/>
      <w:bookmarkEnd w:id="5"/>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deciding whether to invest in our common stock, you should consider carefully the risks and uncertainties described under the heading Risk Factors contained in our definitive proxy statement filed with the SEC on February 9, 2023 and our most recent Annual Report on Form 10-K, as updated by our other filings we make with the Securities and Exchange Commission, or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482049_4"/>
      <w:bookmarkEnd w:id="6"/>
      <w:r>
        <w:rPr>
          <w:rFonts w:ascii="Times New Roman" w:hAnsi="Times New Roman"/>
          <w:b/>
          <w:sz w:val="20"/>
        </w:rPr>
        <w:t xml:space="preserve">SPECIAL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and the documents we have filed with the SEC that are incorporated by reference contain forward-looking statements within the meaning of Section 27A of the Securities Act and Section 21E of the Securities Exchange Act of 1934, as amended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expected cash runway and ability to fund the advancement of Auxora through clinical milestones in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3"/>
        <w:gridCol w:w="104"/>
        <w:gridCol w:w="8873"/>
      </w:tblGrid>
      <w:tr>
        <w:trPr/>
        <w:tc>
          <w:tcPr>
            <w:tcW w:w="1015"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88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obtain and maintain regulatory approval for our product candidates or any of our future product candidates, and any related restrictions, limitations, and/or warnings in the label of an approved product candidate;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commercialization of Auxora and our other product candidates, if approved;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develop and maintain sales and marketing capabilities, whether alone or with potential future collaborators;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to research, develop and commercialize our product candidates, including the timing of our ongoing clinical trials of Auxora;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regarding the size of target patient populations for Auxora and our other product candidates, if approved for commercial use, and any additional product candidates we may develop;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8"/>
        <w:gridCol w:w="102"/>
        <w:gridCol w:w="8878"/>
      </w:tblGrid>
      <w:tr>
        <w:trPr/>
        <w:tc>
          <w:tcPr>
            <w:tcW w:w="101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4"/>
        <w:gridCol w:w="101"/>
        <w:gridCol w:w="8882"/>
      </w:tblGrid>
      <w:tr>
        <w:trPr/>
        <w:tc>
          <w:tcPr>
            <w:tcW w:w="101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as well as third-party payor coverage and reimbursement for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attract collaborators with development, regulatory and commercialization expertise;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regarding our ability to obtain, maintain, enforce and defend our intellectual property protection for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regulatory and legal developments in the United States and foreign countries;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performance of our third-party suppliers and manufacturers;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5"/>
        <w:gridCol w:w="104"/>
        <w:gridCol w:w="8871"/>
      </w:tblGrid>
      <w:tr>
        <w:trPr/>
        <w:tc>
          <w:tcPr>
            <w:tcW w:w="1015"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88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obtain funding for our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satisfy Nasdaq listing requirements, maintain our listing on Nasdaq and the timing thereof and/or have our securities traded on the OTCQB tier of the over-the-counter market;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2"/>
        <w:gridCol w:w="103"/>
        <w:gridCol w:w="8875"/>
      </w:tblGrid>
      <w:tr>
        <w:trPr/>
        <w:tc>
          <w:tcPr>
            <w:tcW w:w="101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accuracy of our estimates regarding expenses, capital requirements and needs for additional financing. </w:t>
            </w:r>
          </w:p>
        </w:tc>
      </w:tr>
    </w:tbl>
    <w:p>
      <w:pPr>
        <w:pStyle w:val="TextBody"/>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could, would, expects, plans, anticipates, believes, estimates, projects, predicts, potential and similar expressions (including their use in the negative)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in our SEC filings, and may provide additional information in any applicable prospectus supplement. Also, these forward-looking statements represent our estimates and assumptions only as of the date of the document containing the applicable statement.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You should read this prospectus, the registration statement of which this prospectus is a part, the documents incorporated by reference herein, and any applicable prospectus supplement completely and with the understanding that our actual future results may be materially different from what we expect. We qualify all of the forward-looking statements in the foregoing documents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482049_5"/>
      <w:bookmarkEnd w:id="7"/>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All the shares of our common stock to be sold pursuant to this prospectus will be sold by the selling stockholders. We will not receive any of the proceeds from such sales. We will, however, receive the net proceeds of any warrants exercised for cash. The cash exercise price of the warrants is set forth below in the section titled Selling Stockholders--Relationships with Selling Stockholders. We expect to use any such proceeds primarily for our working capital and other corporate and operational purposes. The warrants are exercisable on a net exercise cashless basis. If any of the warrants are exercised on a cashless basis, we would not receive any cash payment from the applicable selling stockholder upon any such exercise of the warrants. </w:t>
      </w:r>
    </w:p>
    <w:p>
      <w:pPr>
        <w:pStyle w:val="TextBody"/>
        <w:spacing w:before="240" w:after="0"/>
        <w:jc w:val="left"/>
        <w:rPr>
          <w:rFonts w:ascii="Times New Roman" w:hAnsi="Times New Roman"/>
          <w:sz w:val="20"/>
        </w:rPr>
      </w:pPr>
      <w:r>
        <w:rPr>
          <w:rFonts w:ascii="Times New Roman" w:hAnsi="Times New Roman"/>
          <w:sz w:val="20"/>
        </w:rPr>
        <w:t xml:space="preserve">The selling stockholders will bear all fees, commissions and discounts, if any, attributable to the sales of shares and any transfer taxes. We will bear all other costs, expenses and fees in connection with the registration of shares of our common stock to be sold by the selling stockholders pursuant to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482049_6"/>
      <w:bookmarkEnd w:id="8"/>
      <w:r>
        <w:rPr>
          <w:rFonts w:ascii="Times New Roman" w:hAnsi="Times New Roman"/>
          <w:b/>
          <w:sz w:val="20"/>
        </w:rPr>
        <w:t xml:space="preserve">DESCRIPTION OF CAPITAL STOCK </w:t>
      </w:r>
    </w:p>
    <w:p>
      <w:pPr>
        <w:pStyle w:val="TextBody"/>
        <w:spacing w:before="240" w:after="0"/>
        <w:jc w:val="left"/>
        <w:rPr>
          <w:rFonts w:ascii="Times New Roman" w:hAnsi="Times New Roman"/>
          <w:b/>
          <w:sz w:val="20"/>
        </w:rPr>
      </w:pPr>
      <w:r>
        <w:rPr>
          <w:rFonts w:ascii="Times New Roman" w:hAnsi="Times New Roman"/>
          <w:b/>
          <w:sz w:val="20"/>
        </w:rPr>
        <w:t xml:space="preserve">Authorized Capital Stock </w:t>
      </w:r>
    </w:p>
    <w:p>
      <w:pPr>
        <w:pStyle w:val="TextBody"/>
        <w:spacing w:before="120" w:after="0"/>
        <w:jc w:val="left"/>
        <w:rPr>
          <w:rFonts w:ascii="Times New Roman" w:hAnsi="Times New Roman"/>
          <w:sz w:val="20"/>
        </w:rPr>
      </w:pPr>
      <w:r>
        <w:rPr>
          <w:rFonts w:ascii="Times New Roman" w:hAnsi="Times New Roman"/>
          <w:sz w:val="20"/>
        </w:rPr>
        <w:t xml:space="preserve">Our authorized capital stock consists of 500,000,000 shares of common stock, $0.0001 par value per share, and 10,000,000 shares of undesignated preferred stock, $0.0001 par value per share. </w:t>
      </w:r>
    </w:p>
    <w:p>
      <w:pPr>
        <w:pStyle w:val="TextBody"/>
        <w:spacing w:before="360" w:after="0"/>
        <w:jc w:val="left"/>
        <w:rPr>
          <w:rFonts w:ascii="Times New Roman" w:hAnsi="Times New Roman"/>
          <w:b/>
          <w:sz w:val="20"/>
        </w:rPr>
      </w:pPr>
      <w:r>
        <w:rPr>
          <w:rFonts w:ascii="Times New Roman" w:hAnsi="Times New Roman"/>
          <w:b/>
          <w:sz w:val="20"/>
        </w:rPr>
        <w:t xml:space="preserve">Common Stock </w:t>
      </w:r>
    </w:p>
    <w:p>
      <w:pPr>
        <w:pStyle w:val="TextBody"/>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spacing w:before="120" w:after="0"/>
        <w:jc w:val="left"/>
        <w:rPr>
          <w:rFonts w:ascii="Times New Roman" w:hAnsi="Times New Roman"/>
          <w:sz w:val="20"/>
        </w:rPr>
      </w:pPr>
      <w:r>
        <w:rPr>
          <w:rFonts w:ascii="Times New Roman" w:hAnsi="Times New Roman"/>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established a classified board of directors, divided into three classes with staggered three-year terms. Only one class of directors will be elected at each annual meeting of our stockholders, with the other classes continuing for the remainder of their respective three-year terms. </w:t>
      </w:r>
    </w:p>
    <w:p>
      <w:pPr>
        <w:pStyle w:val="TextBody"/>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spacing w:before="120" w:after="0"/>
        <w:jc w:val="left"/>
        <w:rPr>
          <w:rFonts w:ascii="Times New Roman" w:hAnsi="Times New Roman"/>
          <w:sz w:val="20"/>
        </w:rPr>
      </w:pPr>
      <w:r>
        <w:rPr>
          <w:rFonts w:ascii="Times New Roman" w:hAnsi="Times New Roman"/>
          <w:sz w:val="20"/>
        </w:rPr>
        <w:t xml:space="preserve">Our common stock is not entitled to preemptive rights, and is not subject to conversion, redemption or sinking fund provisions. </w:t>
      </w:r>
    </w:p>
    <w:p>
      <w:pPr>
        <w:pStyle w:val="TextBody"/>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spacing w:before="120" w:after="0"/>
        <w:jc w:val="left"/>
        <w:rPr>
          <w:rFonts w:ascii="Times New Roman" w:hAnsi="Times New Roman"/>
          <w:sz w:val="20"/>
        </w:rPr>
      </w:pPr>
      <w:r>
        <w:rPr>
          <w:rFonts w:ascii="Times New Roman" w:hAnsi="Times New Roman"/>
          <w:sz w:val="20"/>
        </w:rPr>
        <w:t xml:space="preserve">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spacing w:before="360" w:after="0"/>
        <w:jc w:val="left"/>
        <w:rPr>
          <w:rFonts w:ascii="Times New Roman" w:hAnsi="Times New Roman"/>
          <w:b/>
          <w:sz w:val="20"/>
        </w:rPr>
      </w:pPr>
      <w:r>
        <w:rPr>
          <w:rFonts w:ascii="Times New Roman" w:hAnsi="Times New Roman"/>
          <w:b/>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Our board of directors is authorized, subject to limitations prescribed by Delaware law, to issue up to 10,000,000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and not above the number of shares of that series authorized,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 </w:t>
      </w:r>
    </w:p>
    <w:p>
      <w:pPr>
        <w:pStyle w:val="TextBody"/>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spacing w:before="120" w:after="0"/>
        <w:jc w:val="left"/>
        <w:rPr>
          <w:rFonts w:ascii="Times New Roman" w:hAnsi="Times New Roman"/>
          <w:sz w:val="20"/>
        </w:rPr>
      </w:pPr>
      <w:r>
        <w:rPr>
          <w:rFonts w:ascii="Times New Roman" w:hAnsi="Times New Roman"/>
          <w:sz w:val="20"/>
        </w:rPr>
        <w:t xml:space="preserve">The provisions of the Delaware General Corporation Law, or the DGCL, our amended and restated certificate of incorporation, as amended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Delaware Law </w:t>
      </w:r>
    </w:p>
    <w:p>
      <w:pPr>
        <w:pStyle w:val="TextBody"/>
        <w:spacing w:before="120" w:after="0"/>
        <w:jc w:val="left"/>
        <w:rPr>
          <w:rFonts w:ascii="Times New Roman" w:hAnsi="Times New Roman"/>
          <w:sz w:val="20"/>
        </w:rPr>
      </w:pPr>
      <w:r>
        <w:rPr>
          <w:rFonts w:ascii="Times New Roman" w:hAnsi="Times New Roman"/>
          <w:sz w:val="20"/>
        </w:rPr>
        <w:t xml:space="preserve">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4"/>
        <w:gridCol w:w="212"/>
        <w:gridCol w:w="103"/>
        <w:gridCol w:w="8876"/>
      </w:tblGrid>
      <w:tr>
        <w:trPr/>
        <w:tc>
          <w:tcPr>
            <w:tcW w:w="1014"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 </w:t>
            </w:r>
          </w:p>
        </w:tc>
      </w:tr>
    </w:tbl>
    <w:p>
      <w:pPr>
        <w:pStyle w:val="TextBody"/>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 </w:t>
      </w:r>
    </w:p>
    <w:p>
      <w:pPr>
        <w:pStyle w:val="TextBody"/>
        <w:spacing w:before="360" w:after="0"/>
        <w:jc w:val="left"/>
        <w:rPr>
          <w:rFonts w:ascii="Times New Roman" w:hAnsi="Times New Roman"/>
          <w:b/>
          <w:i/>
          <w:sz w:val="20"/>
        </w:rPr>
      </w:pPr>
      <w:r>
        <w:rPr>
          <w:rFonts w:ascii="Times New Roman" w:hAnsi="Times New Roman"/>
          <w:b/>
          <w:i/>
          <w:sz w:val="20"/>
        </w:rPr>
        <w:t xml:space="preserve">Restated Certificate of Incorporation and Restated Bylaw Provisions </w:t>
      </w:r>
    </w:p>
    <w:p>
      <w:pPr>
        <w:pStyle w:val="TextBody"/>
        <w:spacing w:before="120" w:after="0"/>
        <w:jc w:val="left"/>
        <w:rPr>
          <w:rFonts w:ascii="Times New Roman" w:hAnsi="Times New Roman"/>
          <w:sz w:val="20"/>
        </w:rPr>
      </w:pPr>
      <w:r>
        <w:rPr>
          <w:rFonts w:ascii="Times New Roman" w:hAnsi="Times New Roman"/>
          <w:sz w:val="20"/>
        </w:rPr>
        <w:t xml:space="preserve">Our restated certificate of incorporation and our restated bylaws include a number of provisions that could deter hostile takeovers or delay or prevent changes in control of our company,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08"/>
        <w:gridCol w:w="102"/>
        <w:gridCol w:w="8879"/>
      </w:tblGrid>
      <w:tr>
        <w:trPr/>
        <w:tc>
          <w:tcPr>
            <w:tcW w:w="101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restated certificate of incorporation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restated certificate of incorporation and restated bylaws provide that our board of directors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4"/>
        <w:gridCol w:w="210"/>
        <w:gridCol w:w="103"/>
        <w:gridCol w:w="8878"/>
      </w:tblGrid>
      <w:tr>
        <w:trPr/>
        <w:tc>
          <w:tcPr>
            <w:tcW w:w="101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Stockholder Action; Special Meetings of Stockholders</w:t>
            </w:r>
            <w:r>
              <w:rPr>
                <w:rFonts w:ascii="Times New Roman" w:hAnsi="Times New Roman"/>
                <w:sz w:val="20"/>
              </w:rPr>
              <w:t xml:space="preserve">. Our restated certificate of incorporation provides that our 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6"/>
        <w:gridCol w:w="208"/>
        <w:gridCol w:w="102"/>
        <w:gridCol w:w="8879"/>
      </w:tblGrid>
      <w:tr>
        <w:trPr/>
        <w:tc>
          <w:tcPr>
            <w:tcW w:w="101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restated bylaws provide advance notice 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a corporations certificate of incorporation provides otherwise. Our restated certificate of incorporation and restated bylaws do not provide for cumulative voting.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Directors Removed Only for Cause</w:t>
            </w:r>
            <w:r>
              <w:rPr>
                <w:rFonts w:ascii="Times New Roman" w:hAnsi="Times New Roman"/>
                <w:sz w:val="20"/>
              </w:rPr>
              <w:t xml:space="preserve">. Our restated certificate of incorporation provides that stockholders may remove directors only for cause and only by the affirmative vote of the holders of at least two-thirds of our outstanding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4"/>
        <w:gridCol w:w="101"/>
        <w:gridCol w:w="8882"/>
      </w:tblGrid>
      <w:tr>
        <w:trPr/>
        <w:tc>
          <w:tcPr>
            <w:tcW w:w="101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Amendment of Charter Provisions</w:t>
            </w:r>
            <w:r>
              <w:rPr>
                <w:rFonts w:ascii="Times New Roman" w:hAnsi="Times New Roman"/>
                <w:sz w:val="20"/>
              </w:rPr>
              <w:t xml:space="preserve">. Any amendment of the above provisions in our restated certificate of incorporation requires approval by holders of at least two-thirds of our outstanding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Issuance of Undesignated Preferred Stock</w:t>
            </w:r>
            <w:r>
              <w:rPr>
                <w:rFonts w:ascii="Times New Roman" w:hAnsi="Times New Roman"/>
                <w:sz w:val="20"/>
              </w:rPr>
              <w:t xml:space="preserve">.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Choice of Forum</w:t>
            </w:r>
            <w:r>
              <w:rPr>
                <w:rFonts w:ascii="Times New Roman" w:hAnsi="Times New Roman"/>
                <w:sz w:val="20"/>
              </w:rPr>
              <w:t xml:space="preserve">. Our restated certificate of incorporation provides that, to the fullest extent permitted by law,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provide that the federal district courts of the United States of America will, to the fullest extent permitted by law, be the exclusive forum for resolving any complaint asserting a cause of action arising under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w:t>
            </w:r>
          </w:p>
        </w:tc>
      </w:tr>
    </w:tbl>
    <w:p>
      <w:pPr>
        <w:pStyle w:val="TextBody"/>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The transfer agent and registrar for our common stock is American Stock Transfer &amp; Trust Company, LLC. The transfer agents address is 6201 15th Avenue, Brooklyn, New York 11219.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Stock Exchange Listing </w:t>
      </w:r>
    </w:p>
    <w:p>
      <w:pPr>
        <w:pStyle w:val="TextBody"/>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CALC. Trading of our common stock was suspended on The Nasdaq Global Market at the open of the market on March 30, 2023, and on April 3, 2023 our common stock began trading on the over-the-counter market. On April 3, 2023, the last reported sales price of our common stock on the over-the-counter market was $3.52 per share (symbol: CALC). See the section titled Stock Exchange Listing beginning on page 2 for additional information regarding our stock exchange listing and appeal process with the Nasdaq Stock Market LLC with respect to our listing.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482049_7"/>
      <w:bookmarkEnd w:id="9"/>
      <w:r>
        <w:rPr>
          <w:rFonts w:ascii="Times New Roman" w:hAnsi="Times New Roman"/>
          <w:b/>
          <w:sz w:val="20"/>
        </w:rPr>
        <w:t xml:space="preserve">SELLING STOCKHOLDERS </w:t>
      </w:r>
    </w:p>
    <w:p>
      <w:pPr>
        <w:pStyle w:val="TextBody"/>
        <w:spacing w:before="240" w:after="0"/>
        <w:jc w:val="left"/>
        <w:rPr>
          <w:rFonts w:ascii="Times New Roman" w:hAnsi="Times New Roman"/>
          <w:sz w:val="20"/>
        </w:rPr>
      </w:pPr>
      <w:r>
        <w:rPr>
          <w:rFonts w:ascii="Times New Roman" w:hAnsi="Times New Roman"/>
          <w:sz w:val="20"/>
        </w:rPr>
        <w:t xml:space="preserve">We have prepared this prospectus to allow the selling stockholders to offer and sell from time to time 4,220,995 shares of our common stock (which includes 274,455 shares of our common stock that are issuable upon the exercise of 274,455 warrants). The selling stockholders acquired these shares and/or warrants from us pursuant the Merger.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 the name of each selling stockholder; (ii) the number of shares beneficially owned by each of the selling stockholders; (iii) the number of shares that may be offered under this prospectus; and (iv) the number of shares of common stock beneficially owned by each of the selling stockholders assuming all of the shares covered hereby are sold. We do not know how long the selling stockholders will hold the shares before selling them. Except as disclosed below in Relationships with Selling ShareholdersMerger Agreement, we currently have no agreements, arrangements or understandings with the selling stockholders regarding the sale or other disposition of any shares. </w:t>
      </w:r>
    </w:p>
    <w:p>
      <w:pPr>
        <w:pStyle w:val="TextBody"/>
        <w:spacing w:before="240" w:after="0"/>
        <w:jc w:val="left"/>
        <w:rPr>
          <w:rFonts w:ascii="Times New Roman" w:hAnsi="Times New Roman"/>
          <w:sz w:val="20"/>
        </w:rPr>
      </w:pPr>
      <w:r>
        <w:rPr>
          <w:rFonts w:ascii="Times New Roman" w:hAnsi="Times New Roman"/>
          <w:sz w:val="20"/>
        </w:rPr>
        <w:t xml:space="preserve">The information set forth in the table below is based upon information obtained from the selling stockholders. Beneficial ownership of the selling stockholders is determined in accordance with Rule 13d-3(d) under the Exchange Act. The percentage of shares beneficially owned prior to, and after, the offering is based on 5,517,973 shares of our common stock outstanding as of March 20, 2023. </w:t>
      </w:r>
    </w:p>
    <w:p>
      <w:pPr>
        <w:pStyle w:val="TextBody"/>
        <w:spacing w:before="240" w:after="0"/>
        <w:jc w:val="left"/>
        <w:rPr>
          <w:rFonts w:ascii="Times New Roman" w:hAnsi="Times New Roman"/>
          <w:sz w:val="20"/>
        </w:rPr>
      </w:pPr>
      <w:r>
        <w:rPr>
          <w:rFonts w:ascii="Times New Roman" w:hAnsi="Times New Roman"/>
          <w:sz w:val="20"/>
        </w:rPr>
        <w:t xml:space="preserve">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shares in any non-sale transfer after the date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612"/>
        <w:gridCol w:w="180"/>
        <w:gridCol w:w="60"/>
        <w:gridCol w:w="1013"/>
        <w:gridCol w:w="60"/>
        <w:gridCol w:w="180"/>
        <w:gridCol w:w="144"/>
        <w:gridCol w:w="1067"/>
        <w:gridCol w:w="275"/>
        <w:gridCol w:w="123"/>
        <w:gridCol w:w="61"/>
        <w:gridCol w:w="1018"/>
        <w:gridCol w:w="60"/>
        <w:gridCol w:w="179"/>
        <w:gridCol w:w="101"/>
        <w:gridCol w:w="1149"/>
        <w:gridCol w:w="101"/>
        <w:gridCol w:w="257"/>
        <w:gridCol w:w="201"/>
        <w:gridCol w:w="1084"/>
        <w:gridCol w:w="280"/>
      </w:tblGrid>
      <w:tr>
        <w:trPr/>
        <w:tc>
          <w:tcPr>
            <w:tcW w:w="261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26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52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Beneficial Ownership</w:t>
              <w:br/>
              <w:t>Prior to This Offering</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89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Beneficial Ownership</w:t>
              <w:br/>
              <w:t>After This Offering</w:t>
            </w:r>
          </w:p>
        </w:tc>
        <w:tc>
          <w:tcPr>
            <w:tcW w:w="280" w:type="dxa"/>
            <w:tcBorders/>
            <w:shd w:fill="auto" w:val="clear"/>
            <w:vAlign w:val="bottom"/>
          </w:tcPr>
          <w:p>
            <w:pPr>
              <w:pStyle w:val="TableContents"/>
              <w:spacing w:before="0" w:after="283"/>
              <w:rPr/>
            </w:pPr>
            <w:r>
              <w:rPr/>
              <w:t> </w:t>
            </w:r>
          </w:p>
        </w:tc>
      </w:tr>
      <w:tr>
        <w:trPr/>
        <w:tc>
          <w:tcPr>
            <w:tcW w:w="2612" w:type="dxa"/>
            <w:tcBorders/>
            <w:shd w:fill="auto" w:val="clear"/>
            <w:vAlign w:val="bottom"/>
          </w:tcPr>
          <w:p>
            <w:pPr>
              <w:pStyle w:val="TableContents"/>
              <w:spacing w:before="0" w:after="283"/>
              <w:rPr>
                <w:b/>
              </w:rPr>
            </w:pPr>
            <w:r>
              <w:rPr>
                <w:b/>
              </w:rPr>
              <w:t>Name of Selling Stockholder(1)</w:t>
            </w:r>
          </w:p>
        </w:tc>
        <w:tc>
          <w:tcPr>
            <w:tcW w:w="180" w:type="dxa"/>
            <w:tcBorders/>
            <w:shd w:fill="auto" w:val="clear"/>
            <w:vAlign w:val="bottom"/>
          </w:tcPr>
          <w:p>
            <w:pPr>
              <w:pStyle w:val="TableContents"/>
              <w:spacing w:before="0" w:after="283"/>
              <w:rPr/>
            </w:pPr>
            <w:r>
              <w:rPr/>
              <w:t>  </w:t>
            </w:r>
          </w:p>
        </w:tc>
        <w:tc>
          <w:tcPr>
            <w:tcW w:w="10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2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Total</w:t>
              <w:br/>
              <w:t>Voting</w:t>
              <w:br/>
              <w:t>Power</w:t>
              <w:br/>
              <w:t>Before This</w:t>
              <w:br/>
              <w:t>Offering</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w:t>
              <w:br/>
              <w:t>Number of</w:t>
              <w:br/>
              <w:t>Shares</w:t>
              <w:br/>
              <w:t>Being</w:t>
              <w:br/>
              <w:t>Offered(2)</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Total</w:t>
              <w:br/>
              <w:t>Voting</w:t>
              <w:br/>
              <w:t>Power After</w:t>
              <w:br/>
              <w:t>This</w:t>
              <w:br/>
              <w:t>Offering</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Alexandré Ferré Separate property Trust dated August 16, 2019</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1,830</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1,830</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Alma Life Sciences, LLC</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11,459</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11,459</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Anjana Rao</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4,744</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4,744</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Bering Partners II, L.P.</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82,111</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1.5</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82,111</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Biogen Idec MA Inc.</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389</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389</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Christopher Krueger</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2,143</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2,143</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Cindy (Twedt) Friedenberg(3)</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329</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268</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61</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Edward H. Shin</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216</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216</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Eric W. Roberts(4)</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81,467</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1.5</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2,793</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78,674</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1.4</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Evan Rogers</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2,304</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2,304</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Fred Middleton(5)</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2,880</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5,760</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Global Health Science Fund II, L.P.(6)</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172,193</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3.1</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172,193</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Golden Triangle Ventures</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8,176</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8,176</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Gonul Velicelebi</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11,182</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11,182</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Greg Scott and Keke Feng, Joint Tenants with Right of Survivorship</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1,139</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1,139</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Henry A. Mckinnell Revocable Trust</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103,563</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1.9</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103,563</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IRA Financial Trust Company CFBO Eric W Roberts(7)</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10,661</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10,661</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Jack Roos</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2,372</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2,372</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Jeff Whitten, Ph.D</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2,880</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2,880</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Katherine McNeil</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23</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23</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Ken Stauderman(8)</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90,186</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1.6</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11,944</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78,242</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1.4</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La Jolla Institute for Allergy and Immunology</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7,481</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7,481</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Mark Hubbard(9)</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9,703</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9,703</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Max Ferré Separate Property Trust dated October 1, 2018</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1,830</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1,830</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Mesa Verde Venture Partners III, LP</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61,599</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1.1</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61,599</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Michael Harpold</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1,356</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1,356</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Patrick Hogan</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2,372</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2,372</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Quark Venture Inc.(10)</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141,610</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2.6</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141,610</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QVMedical 2021 Limited Partnership(11)</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186,155</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3.3</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186,155</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Revelation Healthcare Fund I, L.P.(12)</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543,994</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9.9</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543,994</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Robert G. McNeil(13)</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6,439</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201</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6,238</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Robert N. Wilson(14)</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226,786</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4.1</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198,839</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27,947</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SG Dan Equity Holdings, LLC(15)</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16,862</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17,280</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1,982</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S.R. One Limited(16)</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10,805</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10,805</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Stephan Feske(17)</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1,893</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453</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1,440</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STMC II, LLC(18)</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119,901</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2.2</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119,901</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Tom Reed</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1,356</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1,356</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Yangang Zhang(19)</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3,479</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1,440</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2,039</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Sanderling Ventures(20)</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1,714,439</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31.0</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1,714,439</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r>
        <w:trPr/>
        <w:tc>
          <w:tcPr>
            <w:tcW w:w="2612"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WS Investments Co.(21)</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2,835</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2,835</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  </w:t>
            </w:r>
          </w:p>
        </w:tc>
        <w:tc>
          <w:tcPr>
            <w:tcW w:w="280" w:type="dxa"/>
            <w:tcBorders/>
            <w:shd w:fill="auto" w:val="clear"/>
            <w:vAlign w:val="bottom"/>
          </w:tcPr>
          <w:p>
            <w:pPr>
              <w:pStyle w:val="TableContents"/>
              <w:spacing w:before="0" w:after="283"/>
              <w:rPr/>
            </w:pPr>
            <w:r>
              <w:rPr/>
              <w:t> </w:t>
            </w:r>
          </w:p>
        </w:tc>
      </w:tr>
      <w:tr>
        <w:trPr/>
        <w:tc>
          <w:tcPr>
            <w:tcW w:w="2612"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Valence Investments(22)</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759,156</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13.8</w:t>
            </w:r>
          </w:p>
        </w:tc>
        <w:tc>
          <w:tcPr>
            <w:tcW w:w="27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759,156</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280"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Denotes less than 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of the selling stockholders are current employees following the closing of the Merger.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our common stock in the column Maximum Number of Shares Being Offered represents all of the shares of our common stock that a selling stockholder may offer and sell from time to time under this prospectus, including an aggregate of 274,455 shares of common stock issuable upon exercise of warrants held by the selling stockholders, which consist of the Series D Warrants, the SG 2020 Warrant, the SG 2022 Warrant, the Roberts 2022 Warrant and the Middleton 2022 Warrant, each described below in the section titled Relationships with Selling Shareholders, and warrants to purchase shares of CalciMedica common stock at an exercise price of $26.74 per share originally issued in connection with a transaction in 2016 (the 2016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268 shares of our common stock and (ii) 61 shares of common stock issuable pursuant to options exercisable within 60 days of March 20,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79,954 shares of our common stock issuable pursuant to options exercisable within 60 days of March 20, 2023 and (ii) 1,513 shares of our common stock issuable pursuant to the Roberts 2022 Warrant exercisable within 60 days of March 20, 2023. The number in the column Maximum Number of Shares Being Offered includes 2,793 shares of common stock issuable upon exercise of warrants. Mr. Roberts is our Chief Business Officer and a member of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2,880 shares of our common stock issuable pursuant to the Middleton 2022 Warrant exercisable within 60 days of March 20, 2023. The number in the column Maximum Number of Shares Being Offered includes 5,760 shares of common stock issuable upon exercise of warrants. Mr. Middleton is a member of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132,455 shares of our common stock and (ii) 39,738 shares of our common stock issuable pursuant to Series D Warrants exercisable within 60 days of March 20, 2023. The number in the column Maximum Number of Shares Being Offered includes (i) 132,455 shares for common stock and (ii) 39,738 shares of common stock issuable upon exercise of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10,661 shares of our common stock. IRA Financial Trust Company CFBO Eric W. Roberts. is Mr. Roberts self-directed investment retirement account. Mr. Roberts is our Chief Business Officer and a member of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11,944 shares of our common stock and (ii) 78,242 shares of our common stock issuable pursuant to options exercisable within 60 days of March 20, 2023. Dr. Stauderman is our Chief Scientific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8,629 shares of our common stock and (ii) 1,074 shares of our common stock issuable pursuant to Series D Warrants exercisable within 60 days of March 20, 2023. The number in the column Maximum Number of Shares Being Offered includes (i) 8,329 shares for common stock and (ii) 1,074 shares of common stock issuable upon exercise of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116,908 shares of our common stock and (ii) 24,702 shares of our common stock issuable pursuant to Series D Warrants exercisable within 60 days of March 20, 2023. The number in the column Maximum Number of Shares Being Offered includes (i) 116,908 shares for common stock and (ii) 24,702 shares of common stock issuable upon exercise of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143,195 shares of our common stock and (ii) 42,960 shares of our common stock issuable pursuant to Series D Warrants exercisable within 60 days of March 20, 2023. The number in the column Maximum Number of Shares Being Offered includes (i) 143,195 shares for common stock and (ii) 42,960 shares of common stock issuable upon exercise of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542,029 shares of our common stock and (ii) 1,965 shares of our common stock issuable pursuant to 2016 Warrants exercisable within 60 days of March 20, 2023. The number in the column Maximum Number of Shares Being Offered includes (i) 542,029 shares for common stock and (ii) 1,965 shares of common stock issuable upon exercise of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201 shares of our common stock and (ii) 6,238 shares of our common stock usable pursuant to options exercisable within 60 days of March 20,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181,655 shares of our common stock, (ii) 27,947 shares of our common stock issuable pursuant to options exercisable within 60 days of March 20, 2023 and (iii) 17,184 shares of our common stock issuable pursuant to Series D Warrants exercisable within 60 days of March 20, 2023. The number in the column Maximum Number of Shares Being Offered includes (i) 181,655 shares for common stock and (ii) 17,184 shares of common stock issuable upon exercise of warrants. Mr. Wilson is the Chair of our Board of Directors.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14,880 shares of our common stock issuable upon exercise of the SG 2020 Warrant and SG 2022 Warrant and (ii) 1,982 shares of our common stock issuable upon the exercise of vested warrants issued prior to the Merger (not registered hereby). The number in the column Maximum Number of Shares Being Offered includes 17,280 shares of common stock issuable upon exercise of warrants. SG Dan Equity Holdings, LLC is a company affiliated with Mr. Geffken, our Interim Chief Financial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986 shares of our common stock and (ii) 9,819 shares of our common stock issuable pursuant to 2016 Warrants exercisable within 60 days of March 20, 2023. The number in the column Maximum Number of Shares Being Offered includes (i) 986 shares for common stock and (ii) 9,819 shares of common stock issuable upon exercise of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453 shares of our common stock and (ii) 1,440 shares of our common stock issuable pursuant to options exercisable within 60 days of March 20,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102,986 shares of our common stock and (ii) 16,915 shares of our common stock issuable pursuant to Series D Warrants exercisable within 60 days of March 20, 2023. The number in the column Maximum Number of Shares Being Offered includes (i) 102,986 shares for common stock and (ii) 16,915 shares of common stock issuable upon exercise of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1,440 shares of our common stock and (ii) 2,039 shares of our common stock issuable pursuant to options exercisable within 60 days of March 20,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582,757 shares of our common stock and 24,165 shares of our common stock issuable upon exercise of 2016 Warrants and Series D Warrants held by Sanderling Venture Partners VI Co-Investment Fund, L.P., (ii) 703,388 shares of our common stock and 21,896 shares of our common stock issuable upon exercise of 2016 Warrants and Series D Warrants held by Sanderling Venture Partners VI, L.P., (iii) 17,682 shares of our common stock and 420 shares of our common stock issuable upon exercise of Series D Warrants held by Sanderling Ventures Management VI, (iv) 1,548 shares of our common stock and 280 shares of our common stock issuable upon exercise of Series D Warrants held by Sanderling Ventures Management VII, (v) 63,228 shares of our common stock and 5,452 shares of our common stock issuable upon exercise of Series D Warrants held by Sanderling Ventures VII (Canada), L.P., (vi) 14,425 shares of our common stock and 1,409 shares of our common stock issuable upon exercise of Series D Warrants held by Sanderling Ventures VII Annex Fund, L.P., (vii) 240,676 shares of our common stock and 20,773 shares of our common stock issuable upon exercise of Series D Warrants held by Sanderling Ventures VII, L.P., (viii) 7,456 shares of our common stock held by Sanderling VI Beteligungs GmbH &amp; Co KG, and (ix) 8,884 shares of our common stock held by Sanderling VI Limited Partnership. Fred Middleton is a managing director at Sanderling Ventures. Mr. Middleton has shared voting and dispositive power with respect to the foregoing shares beneficially owned by Sanderling Ventures and disclaims beneficial ownership of such shares except to the extent of his respective pecuniary interest therein. Mr. Middleton is a member of our Board of Directors. The address of Sanderling Ventures is 1300 S. El Camino Real, Suite 203, San Mateo, CA 94402.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57 shares of our common stock held by WS Investment Company LLC (2019A), (ii) 223 shares of our common stock held by WS Investment Company, LLC (22A), (iii) 1,890 shares of our common stock held by WS Investment Company LC (2007A), and (iv) 665 shares of our common stock held by WS Investments Company LLC (2007C).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356,989 shares of our common stock held by Valence Investments SPV IV, LLC, (ii) 66,228 shares of our common stock and 19,870 shares of our common stock issuable pursuant to Series D Warrants exercisable within 60 days of March 20, 2023 held by Valence Investments SPV V, LLC, and (iii) 316,109 shares of our common stock held by Valence Investments SPV VI, LLC. Dr. Leheny and Mr. Roberts are the co-founders and managing directors of Valence IV, Valence V and Valence VI, have shared voting and dispositive power with respect to shares held by such entities, and disclaim beneficial ownership of such shares except to the extent of his or her respective pecuniary interest therein. Dr. Leheny is our Chief Executive Officer and a member of our Board of Directors. Mr. Roberts is our Chief Business Officer and a member of our Board of Directors. The principal business address of Valence Investment LLC is 590 Madison Avenue, 21st Floor, New York, NY 10022.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Relationships with Selling Shareholders </w:t>
      </w:r>
    </w:p>
    <w:p>
      <w:pPr>
        <w:pStyle w:val="TextBody"/>
        <w:spacing w:before="120" w:after="0"/>
        <w:jc w:val="left"/>
        <w:rPr>
          <w:rFonts w:ascii="Times New Roman" w:hAnsi="Times New Roman"/>
          <w:sz w:val="20"/>
        </w:rPr>
      </w:pPr>
      <w:r>
        <w:rPr>
          <w:rFonts w:ascii="Times New Roman" w:hAnsi="Times New Roman"/>
          <w:sz w:val="20"/>
        </w:rPr>
        <w:t xml:space="preserve">Except as otherwise disclosed in the footnotes to the table above and as described below, none of the selling shareholders has, or within the past three years has had, any position, office or other material relationship with us. </w:t>
      </w:r>
    </w:p>
    <w:p>
      <w:pPr>
        <w:pStyle w:val="TextBody"/>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spacing w:before="120" w:after="0"/>
        <w:jc w:val="left"/>
        <w:rPr>
          <w:rFonts w:ascii="Times New Roman" w:hAnsi="Times New Roman"/>
          <w:sz w:val="20"/>
        </w:rPr>
      </w:pPr>
      <w:r>
        <w:rPr>
          <w:rFonts w:ascii="Times New Roman" w:hAnsi="Times New Roman"/>
          <w:sz w:val="20"/>
        </w:rPr>
        <w:t xml:space="preserve">On March 20, 2023, Graybug, Merger Sub and CalciMedica consummated the transactions contemplated by the Merger Agreement. Pursuant to the Certificate of Merger, filed by Merger Sub, which became effective at 4:03 pm Eastern Time on March 20, 2023 (the Merger Certificate), Merger Sub was merged with and into CalciMedica and CalciMedica became a wholly owned subsidiary of the Company. At the effective time of the Merger, each outstanding share of CalciMedica capital stock (after giving effect to the automatic conversion of all shares of CalciMedica preferred stock into shares of CalciMedica common stock, the automatic exercise of certain CalciMedica warrants to purchase shares of CalciMedica capital stock in accordance with their terms, the conversion of CalciMedica convertible promissory notes, as may be amended, into CalciMedica common stock pursuant to their terms and the closing of the private placement, and excluding any shares held as treasury stock by CalciMedica or held or owned by Graybug or any subsidiary of Graybug or CalciMedica and any dissenting shares) was converted into the right to receive 0.0288 shares of Graybug common stock, which resulted in the issuance by Graybug of an aggregate of 3,946,540 shares of Graybug common stock to the stockholders of CalciMedica in a transaction exempt from registration under the Securities Act in reliance on Section 4(a)(2) of the Securities Act and the rules promulgated thereunder. In addition, Graybug assumed the CalciMedica 2006 Stock Plan and each outstanding and unexercised option to purchase CalciMedica common stock and each outstanding and unexercised warrant to purchase CalciMedica capital stock (excluding the warrants which were automatically exercised pursuant to the CalciMedica warrant exercises) which became options and warrants to purchase shares of Graybug common stock. In connection with the Merger, certain officers, directors and stockholders of CalciMedica and continuing directors of Graybug entered into lock-up agreements, pursuant to which they accepted certain restrictions on transfers of the shares of the Company for the 180-day period following the effective time of the Merger. </w:t>
      </w:r>
    </w:p>
    <w:p>
      <w:pPr>
        <w:pStyle w:val="TextBody"/>
        <w:spacing w:before="360" w:after="0"/>
        <w:jc w:val="left"/>
        <w:rPr>
          <w:rFonts w:ascii="Times New Roman" w:hAnsi="Times New Roman"/>
          <w:b/>
          <w:i/>
          <w:sz w:val="20"/>
        </w:rPr>
      </w:pPr>
      <w:r>
        <w:rPr>
          <w:rFonts w:ascii="Times New Roman" w:hAnsi="Times New Roman"/>
          <w:b/>
          <w:i/>
          <w:sz w:val="20"/>
        </w:rPr>
        <w:t xml:space="preserve">Series D Convertible Preferred Stock Financing </w:t>
      </w:r>
    </w:p>
    <w:p>
      <w:pPr>
        <w:pStyle w:val="TextBody"/>
        <w:spacing w:before="120" w:after="0"/>
        <w:jc w:val="left"/>
        <w:rPr>
          <w:rFonts w:ascii="Times New Roman" w:hAnsi="Times New Roman"/>
          <w:sz w:val="20"/>
        </w:rPr>
      </w:pPr>
      <w:r>
        <w:rPr>
          <w:rFonts w:ascii="Times New Roman" w:hAnsi="Times New Roman"/>
          <w:sz w:val="20"/>
        </w:rPr>
        <w:t xml:space="preserve">In February 2021, CalciMedica completed closings of an aggregate of 8,152,834 shares of its Series D convertible preferred stock at a purchase price of $0.8045 per share for aggregate gross proceeds of approximately $6.6 million. From March 2021 to July 2021, CalciMedica completed subsequent closings as follows: (i) an aggregate of 5,069,660 additional shares of its Series D convertible preferred stock were sold in March 2021at a purchase price of $0.8045 per share for aggregate gross proceeds of approximately $4.1 million, (ii) an aggregate of 12,911,742 additional shares of its Series D convertible preferred stock were sold in June 2021 at a purchase price of $0.8045 per share for aggregate gross proceeds of approximately $10.4 million and (iii) an aggregate of 745,804 additional shares of its Series D convertible preferred stock were sold in July 2021 at a purchase price of $0.8045 per share for aggregate gross proceeds of approximately $0.6 million. </w:t>
      </w:r>
    </w:p>
    <w:p>
      <w:pPr>
        <w:pStyle w:val="TextBody"/>
        <w:spacing w:before="240" w:after="0"/>
        <w:jc w:val="left"/>
        <w:rPr>
          <w:rFonts w:ascii="Times New Roman" w:hAnsi="Times New Roman"/>
          <w:sz w:val="20"/>
        </w:rPr>
      </w:pPr>
      <w:r>
        <w:rPr>
          <w:rFonts w:ascii="Times New Roman" w:hAnsi="Times New Roman"/>
          <w:sz w:val="20"/>
        </w:rPr>
        <w:t xml:space="preserve">In connection with each closing of the Series D convertible preferred stock financing, CalciMedica issued warrants to purchase Series D convertible preferred stock at an exercise price of $0.8045 per share (the Series D Warrants). </w:t>
      </w:r>
    </w:p>
    <w:p>
      <w:pPr>
        <w:pStyle w:val="TextBody"/>
        <w:spacing w:before="240" w:after="0"/>
        <w:jc w:val="left"/>
        <w:rPr>
          <w:rFonts w:ascii="Times New Roman" w:hAnsi="Times New Roman"/>
          <w:sz w:val="20"/>
        </w:rPr>
      </w:pPr>
      <w:r>
        <w:rPr>
          <w:rFonts w:ascii="Times New Roman" w:hAnsi="Times New Roman"/>
          <w:sz w:val="20"/>
        </w:rPr>
        <w:t xml:space="preserve">Immediately prior to the effective time of the Merger, each outstanding share of CalciMedicas Series D convertible preferred stock converted into shares of CalciMedica common stock and at the effective time of the Merger the shares of CalciMedica common stock were converted into shares of Graybug common stock in accordance with the Merger Agreement. Additionally, the Series D Warrants were assumed by Graybug and became warrants to purchase shares of Graybug common stock at an exercise price of $27.94 per share in accordance with the Merger Agreement. </w:t>
      </w:r>
    </w:p>
    <w:p>
      <w:pPr>
        <w:pStyle w:val="TextBody"/>
        <w:spacing w:before="360" w:after="0"/>
        <w:jc w:val="left"/>
        <w:rPr>
          <w:rFonts w:ascii="Times New Roman" w:hAnsi="Times New Roman"/>
          <w:b/>
          <w:i/>
          <w:sz w:val="20"/>
        </w:rPr>
      </w:pPr>
      <w:r>
        <w:rPr>
          <w:rFonts w:ascii="Times New Roman" w:hAnsi="Times New Roman"/>
          <w:b/>
          <w:i/>
          <w:sz w:val="20"/>
        </w:rPr>
        <w:t xml:space="preserve">Convertible Promissory Note and Warrant Financing </w:t>
      </w:r>
    </w:p>
    <w:p>
      <w:pPr>
        <w:pStyle w:val="TextBody"/>
        <w:spacing w:before="120" w:after="0"/>
        <w:jc w:val="left"/>
        <w:rPr>
          <w:rFonts w:ascii="Times New Roman" w:hAnsi="Times New Roman"/>
          <w:sz w:val="20"/>
        </w:rPr>
      </w:pPr>
      <w:r>
        <w:rPr>
          <w:rFonts w:ascii="Times New Roman" w:hAnsi="Times New Roman"/>
          <w:sz w:val="20"/>
        </w:rPr>
        <w:t xml:space="preserve">From April 2022 to November 2022, CalciMedica issued and sold convertible promissory notes (the 2022 Notes) to certain investors in the aggregate principal amount of approximately $8.5 million through multiple closings. The 2022 Notes accrued interest at a rate of 6% per annum and had a maturity date of December 31, 2023. Immediately prior to the effective time of the Merger, the 2022 Notes converted into shares of CalciMedica common stock at a conversion price based on the equivalent valuation of the cash price paid per share by the private placement investors purchasing shares of CalciMedica common stock in the private placement multiplied by 0.85. Such shares of CalciMedica common stock were then converted into shares of Graybug common stock at the effective time of the Merger in accordance with the Merger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connection with each purchase of a 2022 Note, CalciMedica issued to each holder of such 2022 Note a warrant (the 2022 Warrants) to purchase shares of CalciMedica common stock at an exercise price of $0.01 per share. The holder of a 2022 Warrant had the right to purchase up to a number of shares of CalciMedica common stock equal to (i) 15% (Warrant Coverage) of the principal amount of the 2022 Note purchased by such holder concurrently therewith, divided by (ii) the cash price paid per share by the investors in the qualified financing or an initial public offering, as applicable, or in the case of a de-SPAC business combination or a reverse merger transaction between CalciMedica and a publicly traded company (a Public Combination), the equivalent valuation of the lower of the cash price per share by the investors purchasing shares in the publicly traded company in connection with such Public Combination or the cash price per shares by the investors purchasing shares of CalciMedica common stock in connection with such Public Combination, in each case, rounding down to the nearest whole share and subject to the terms of the 2022 Notes; provided, however, that any holder that purchased 2022 Notes in excess of the holders pro rata commitment (as defined in the 2022 Note) received a 40% Warrant Coverage on the principal amount of the 2022 Note that was in excess of its pro rata commitment. The 2022 Warrants had a five-year term. In connection with the Merger, the 2022 Warrants were automatically net exercised in accordance with the terms of the 2022 Warrants. </w:t>
      </w:r>
    </w:p>
    <w:p>
      <w:pPr>
        <w:pStyle w:val="TextBody"/>
        <w:spacing w:before="360" w:after="0"/>
        <w:jc w:val="left"/>
        <w:rPr>
          <w:rFonts w:ascii="Times New Roman" w:hAnsi="Times New Roman"/>
          <w:b/>
          <w:i/>
          <w:sz w:val="20"/>
        </w:rPr>
      </w:pPr>
      <w:r>
        <w:rPr>
          <w:rFonts w:ascii="Times New Roman" w:hAnsi="Times New Roman"/>
          <w:b/>
          <w:i/>
          <w:sz w:val="20"/>
        </w:rPr>
        <w:t xml:space="preserve">CalciMedica Private Placement </w:t>
      </w:r>
    </w:p>
    <w:p>
      <w:pPr>
        <w:pStyle w:val="TextBody"/>
        <w:spacing w:before="120" w:after="0"/>
        <w:jc w:val="left"/>
        <w:rPr>
          <w:rFonts w:ascii="Times New Roman" w:hAnsi="Times New Roman"/>
          <w:sz w:val="20"/>
        </w:rPr>
      </w:pPr>
      <w:r>
        <w:rPr>
          <w:rFonts w:ascii="Times New Roman" w:hAnsi="Times New Roman"/>
          <w:sz w:val="20"/>
        </w:rPr>
        <w:t xml:space="preserve">Immediately prior to the consummation of the Merger, CalciMedica completed a private placement financing pursuant to which certain investors purchased approximately 20.7 million shares of CalciMedica common stock for an aggregate purchase price of $10.3 million. In connection with the private placement, CalciMedica entered into a registration rights agreement with the private placement investors, pursuant to which CalciMedica granted certain registration rights with respect to the shares sold to the private placement investors in the private placement. </w:t>
      </w:r>
    </w:p>
    <w:p>
      <w:pPr>
        <w:pStyle w:val="TextBody"/>
        <w:spacing w:before="360" w:after="0"/>
        <w:jc w:val="left"/>
        <w:rPr>
          <w:rFonts w:ascii="Times New Roman" w:hAnsi="Times New Roman"/>
          <w:b/>
          <w:i/>
          <w:sz w:val="20"/>
        </w:rPr>
      </w:pPr>
      <w:r>
        <w:rPr>
          <w:rFonts w:ascii="Times New Roman" w:hAnsi="Times New Roman"/>
          <w:b/>
          <w:i/>
          <w:sz w:val="20"/>
        </w:rPr>
        <w:t xml:space="preserve">Danforth Consulting Agreement and Warrant </w:t>
      </w:r>
    </w:p>
    <w:p>
      <w:pPr>
        <w:pStyle w:val="TextBody"/>
        <w:spacing w:before="120" w:after="0"/>
        <w:jc w:val="left"/>
        <w:rPr>
          <w:rFonts w:ascii="Times New Roman" w:hAnsi="Times New Roman"/>
          <w:sz w:val="20"/>
        </w:rPr>
      </w:pPr>
      <w:r>
        <w:rPr>
          <w:rFonts w:ascii="Times New Roman" w:hAnsi="Times New Roman"/>
          <w:sz w:val="20"/>
        </w:rPr>
        <w:t xml:space="preserve">On October 26, 2020, CalciMedica entered into a consulting agreement (the Danforth Consulting Agreement) with Danforth Advisors, LLC (Danforth), a company affiliated with Mr. Geffken. The Danforth Consulting Agreement provides that Danforth will provide certain strategic and financial advice and support services to CalciMedica. The Danforth Consulting Agreement remains in effect until such time as either party has given notice of termination and may be terminated by either party upon 30 days prior written notice to the other party. As consideration under the Danforth Consulting Agreement, CalciMedica compensates Danforth with consulting fees based on hourly rates as enumerated in the Danforth Consulting Agreement. </w:t>
      </w:r>
    </w:p>
    <w:p>
      <w:pPr>
        <w:pStyle w:val="TextBody"/>
        <w:spacing w:before="240" w:after="0"/>
        <w:jc w:val="left"/>
        <w:rPr>
          <w:rFonts w:ascii="Times New Roman" w:hAnsi="Times New Roman"/>
          <w:sz w:val="20"/>
        </w:rPr>
      </w:pPr>
      <w:r>
        <w:rPr>
          <w:rFonts w:ascii="Times New Roman" w:hAnsi="Times New Roman"/>
          <w:sz w:val="20"/>
        </w:rPr>
        <w:t xml:space="preserve">In connection with the Danforth Consulting Agreement, CalciMedica also granted to SG Dan Equity Holdings, LLC, a company affiliated with Mr. Geffken (SG Dan Equity), a warrant (SG 2020 Warrant) to purchase 400,000 shares of CalciMedica common stock at an exercise price of $0.19 per share (subject to adjustment as provided therein), of which 1/24 of the shares became vested and exercisable on November 26, 2020, and an additional 1/24 of the shares vested on the same day of each full succeeding calendar month thereafter until fully vested and exercisable on October 26, 2022. The SG 2020 Warrant is exercisable until November 9, 2030, unless earlier terminated. The SG 2020 Warrant shall terminate in the event of certain change of control transactions or asset transfers (as provided therein) unless exercised immediately prior to any such transaction. Upon the closing of the Merger, the SG 2020 Warrant was assumed by Graybug and converted into a warrant to purchase Graybug common stock at an exercise price of $6.60 per share in accordance with the terms of the Merger Agreement and the SG 2020 Warrant. </w:t>
      </w:r>
    </w:p>
    <w:p>
      <w:pPr>
        <w:pStyle w:val="TextBody"/>
        <w:spacing w:before="240" w:after="0"/>
        <w:jc w:val="left"/>
        <w:rPr>
          <w:rFonts w:ascii="Times New Roman" w:hAnsi="Times New Roman"/>
          <w:sz w:val="20"/>
        </w:rPr>
      </w:pPr>
      <w:r>
        <w:rPr>
          <w:rFonts w:ascii="Times New Roman" w:hAnsi="Times New Roman"/>
          <w:sz w:val="20"/>
        </w:rPr>
        <w:t xml:space="preserve">Additionally, on October 18, 2022, CalciMedica granted SG Dan Equity a warrant (SG 2022 Warrant) to purchase 200,000 shares of CalciMedica common stock at an exercise price of $0.30 per share (subject to adjustment as provided therein), of which 1/12 of the shares were immediately vested and exercisable, and an additional 1/12 of the shares become vested and exercisable monthly thereafter. If the Danforth Consulting Agreement is terminated by CalciMedica at any time prior to October 18, 2023, then the unvested shares shall vest in full upon such termination. The SG 2022 Warrant is exercisable until October 18, 2032, unless earlier terminated. The SG 2022 Warrant shall terminate in the event of certain change of control transactions or asset transfers (as provided therein) unless exercised immediately prior to any such transaction. Upon the closing of the Merger, the SG 2022 Warrant was assumed by Graybug and converted into a warrant to purchase Graybug common stock at an exercise price of $10.42 per share in accordance with the terms of the Merger Agreement and the SG 2022 Warrant.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CalciMedica Warrants </w:t>
      </w:r>
    </w:p>
    <w:p>
      <w:pPr>
        <w:pStyle w:val="TextBody"/>
        <w:spacing w:before="120" w:after="0"/>
        <w:jc w:val="left"/>
        <w:rPr>
          <w:rFonts w:ascii="Times New Roman" w:hAnsi="Times New Roman"/>
          <w:sz w:val="20"/>
        </w:rPr>
      </w:pPr>
      <w:r>
        <w:rPr>
          <w:rFonts w:ascii="Times New Roman" w:hAnsi="Times New Roman"/>
          <w:sz w:val="20"/>
        </w:rPr>
        <w:t xml:space="preserve">On October 18, 2022, CalciMedica granted to Eric Roberts a warrant (the Roberts 2022 Warrant) to purchase 96,970 shares of CalciMedica common stock at an exercise price of $0.30 per share (subject to adjustment as provided therein), of which 1/48 of the shares vested and become exercisable on March 22, 2021, and an additional 1/48 of the shares become vested and exercisable monthly on the same day of the month thereafter, subject to Mr. Roberts continuing to be an employee, director or consultant of CalciMedica (a Service Provider) through each such date. Upon a change in control (as provided therein), the unvested shares shall immediately vest and become exercisable, subject to Mr. Roberts continuing to be a Service Provider through each such date. The Roberts 2022 Warrant is exercisable through April 27, 2031, unless earlier terminated. Following such date as Mr. Roberts ceases to be a Service Provider, the Roberts 2022 Warrant shall be exercisable for three months after such date. Upon Mr. Roberts death or disability, the Roberts 2022 Warrant is exercisable for one year after Mr. Roberts ceases to be a Service Provider. The Roberts 2022 Warrant shall terminate in the event of certain change of control transactions (as provided therein) unless exercised immediately prior to any such transaction. Upon the closing of the Merger, the Roberts 2022 Warrant was assumed by Graybug and converted into a warrant to purchase Graybug common stock at an exercise price of $10.42 per share in accordance with the terms of the Merger Agreement and the Roberts 2022 Warrant. </w:t>
      </w:r>
    </w:p>
    <w:p>
      <w:pPr>
        <w:pStyle w:val="TextBody"/>
        <w:spacing w:before="240" w:after="0"/>
        <w:jc w:val="left"/>
        <w:rPr>
          <w:rFonts w:ascii="Times New Roman" w:hAnsi="Times New Roman"/>
          <w:sz w:val="20"/>
        </w:rPr>
      </w:pPr>
      <w:r>
        <w:rPr>
          <w:rFonts w:ascii="Times New Roman" w:hAnsi="Times New Roman"/>
          <w:sz w:val="20"/>
        </w:rPr>
        <w:t xml:space="preserve">On October 25, 2022, CalciMedica granted Fred Middleton a warrant (the Middleton 2022 Warrant) to purchase 200,000 shares of CalciMedica common stock at an exercise price of $0.30 per share (subject to adjustment as provided therein), of which 1/12 of the shares vested and became exercisable on November 25, 2022, and an additional 1//12 of the shares become vested and exercisable monthly on the same day of the month thereafter, subject to Mr. Middleton continuing to be a director, officer, employee or consultant of CalciMedica, or any parent or subsidiary of CalciMedica. The Middleton 2022 Warrant is exercisable through April 27, 2031, unless earlier terminated. The Middleton 2022 Warrant shall terminate in the event of certain change of control transactions and asset transfers (as provided therein) unless exercised immediately prior to any such transaction. In addition, the Middleton 2022 Warrant contains certain lock-up restrictions for 180 days following the effective date of certain registration statements of CalciMedica filed under the Securities Act. Upon the closing of the Merger, the Middleton 2022 Warrant was assumed by Graybug and converted into a warrant to purchase Graybug common stock at an exercise price of $10.42 per share in accordance with the terms of the Merger Agreement and the Middleton 2022 Warrant.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x482049_8"/>
      <w:bookmarkEnd w:id="10"/>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are registering the shares of our common stock held by the selling stockholders from time to time after the date of this prospectus. We will not receive any of the proceeds from the sale by the selling stockholders of the shares of our common stock. The selling stockholders will bear all fees, commissions and discounts, if any, attributable to the sales of shares and any transfer taxes. We will bear all other costs, expenses and fees in connection with the registration of shares of our common stock to be sold by the selling stockholders pursuant to this prospectus. </w:t>
      </w:r>
    </w:p>
    <w:p>
      <w:pPr>
        <w:pStyle w:val="TextBody"/>
        <w:spacing w:before="240" w:after="0"/>
        <w:jc w:val="left"/>
        <w:rPr>
          <w:rFonts w:ascii="Times New Roman" w:hAnsi="Times New Roman"/>
          <w:sz w:val="20"/>
        </w:rPr>
      </w:pPr>
      <w:r>
        <w:rPr>
          <w:rFonts w:ascii="Times New Roman" w:hAnsi="Times New Roman"/>
          <w:sz w:val="20"/>
        </w:rPr>
        <w:t xml:space="preserve">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the principal trading market for our common stock or any other stock exchange, market or trading facility on which our common stock is traded or in private transactions. These sales may be at fixed or negotiated prices. A selling stockholder may use any one or more of the following methods when selling securities: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dealer solicits purchasers;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block trades in which the broker dealer will attempt to sell the common stock as agent but may position and resell a portion of the block as principal to facilitate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purchases by a broker dealer as principal and resale by the broker dealer for its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settlement of short sales entered into after the effective date of the registration statement of which this prospectus is a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distribution to employees, members, limited partners or stockholders of the selling securityholders;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transactions through broker dealers that agree with the selling stockholders to sell a specified number of such common stock at a stipulated price per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pledge to secured debts and other obligations;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delayed delivery arrangements;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or through underwriters or broker-dealers;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options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spacing w:before="240" w:after="0"/>
        <w:jc w:val="left"/>
        <w:rPr>
          <w:rFonts w:ascii="Times New Roman" w:hAnsi="Times New Roman"/>
          <w:sz w:val="20"/>
        </w:rPr>
      </w:pPr>
      <w:r>
        <w:rPr>
          <w:rFonts w:ascii="Times New Roman" w:hAnsi="Times New Roman"/>
          <w:sz w:val="20"/>
        </w:rPr>
        <w:t xml:space="preserve">The selling stockholders may also sell the shares of our common stock under Rule 144 or any other exemption from registration under the Securities Act, if available, rather than under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our affiliate (or to the extent otherwise required by law), we may, at our option, file a prospectus supplement in order to permit the distributees to use the prospectus to resell the securities acquired in the distribution. </w:t>
      </w:r>
    </w:p>
    <w:p>
      <w:pPr>
        <w:pStyle w:val="TextBody"/>
        <w:spacing w:before="240" w:after="0"/>
        <w:jc w:val="left"/>
        <w:rPr>
          <w:rFonts w:ascii="Times New Roman" w:hAnsi="Times New Roman"/>
          <w:sz w:val="20"/>
        </w:rPr>
      </w:pPr>
      <w:r>
        <w:rPr>
          <w:rFonts w:ascii="Times New Roman" w:hAnsi="Times New Roman"/>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our common stock, from the purchaser) in amounts to be negotiated, but, except as set forth in a supplement to this prospectus, in the case of an agency transaction not in excess of a customary brokerage commission in compliance with Financial Industry Regulatory Authority, or FINRA, Rule 5110; and in the case of a principal transaction a markup or markdown in compliance with FINRA Rule 2121. </w:t>
      </w:r>
    </w:p>
    <w:p>
      <w:pPr>
        <w:pStyle w:val="TextBody"/>
        <w:spacing w:before="240" w:after="0"/>
        <w:jc w:val="left"/>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In connection with the sale of our common stock or interests therein, the selling stockholders may enter into hedging transactions with broker-dealers or other financial institutions, which may in turn engage in short sales of our common stock in the course of hedging the positions they assume. The selling stockholders may also sell our common stock short and if such short sale shall take place after the date that this registration statement is declared effective by the SEC, the selling stockholders may deliver these shares of common stock covered by the prospectus to close out their short positions and to return borrowed shares in connection with such short sales. The selling stockholders may also loan or pledge the securities to broker-dealers that in turn may sell these shares, to the extent permitted by applicable law.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Notwithstanding the foregoing, the selling stockholders have been advised that they may not use shares registered on this registration statement to cover short sales of our common stock made prior to the date the registration statement, of which this prospectus forms a part, has been declared effective by the SEC. </w:t>
      </w:r>
    </w:p>
    <w:p>
      <w:pPr>
        <w:pStyle w:val="TextBody"/>
        <w:spacing w:before="240" w:after="0"/>
        <w:jc w:val="left"/>
        <w:rPr>
          <w:rFonts w:ascii="Times New Roman" w:hAnsi="Times New Roman"/>
          <w:sz w:val="20"/>
        </w:rPr>
      </w:pPr>
      <w:r>
        <w:rPr>
          <w:rFonts w:ascii="Times New Roman" w:hAnsi="Times New Roman"/>
          <w:sz w:val="20"/>
        </w:rPr>
        <w:t xml:space="preserve">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stockholders may arrange for other broker-dealers to participate. Broker-dealers or agents may receive commissions, discounts or concessions from the selling securityholders in amounts to be negotiated immediately prior to the sale. </w:t>
      </w:r>
    </w:p>
    <w:p>
      <w:pPr>
        <w:pStyle w:val="TextBody"/>
        <w:spacing w:before="240" w:after="0"/>
        <w:jc w:val="left"/>
        <w:rPr>
          <w:rFonts w:ascii="Times New Roman" w:hAnsi="Times New Roman"/>
          <w:sz w:val="20"/>
        </w:rPr>
      </w:pPr>
      <w:r>
        <w:rPr>
          <w:rFonts w:ascii="Times New Roman" w:hAnsi="Times New Roman"/>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shares of our common stock purchased by them may be deemed to be underwriting commissions or discounts under the Securities Act. Selling stockholders who are underwriters within the meaning of Section 2(11) of the Securities Act will be subject to the prospectus delivery requirements of the Securities Act and may be subject to certain statutory liabilities of, including but not limited to, Sections 11, 12 and 17 of the Securities Act and Rule 10b-5 under the Securities Exchange Act of 1934, as amended, or the Exchange Act. Each selling stockholder has informed us that it does not have any written or oral agreement or understanding, directly or indirectly, with any person to distribute the shares of our common stock. Upon us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w:t>
      </w:r>
    </w:p>
    <w:p>
      <w:pPr>
        <w:pStyle w:val="TextBody"/>
        <w:spacing w:before="240" w:after="0"/>
        <w:jc w:val="left"/>
        <w:rPr>
          <w:rFonts w:ascii="Times New Roman" w:hAnsi="Times New Roman"/>
          <w:sz w:val="20"/>
        </w:rPr>
      </w:pPr>
      <w:r>
        <w:rPr>
          <w:rFonts w:ascii="Times New Roman" w:hAnsi="Times New Roman"/>
          <w:sz w:val="20"/>
        </w:rPr>
        <w:t xml:space="preserve">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can be no assurance that any selling stockholder will sell any or all of the shares of common stock registered pursuant to the shelf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Each selling stockholder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 </w:t>
      </w:r>
    </w:p>
    <w:p>
      <w:pPr>
        <w:pStyle w:val="TextBody"/>
        <w:spacing w:before="240" w:after="0"/>
        <w:jc w:val="left"/>
        <w:rPr>
          <w:rFonts w:ascii="Times New Roman" w:hAnsi="Times New Roman"/>
          <w:sz w:val="20"/>
        </w:rPr>
      </w:pPr>
      <w:r>
        <w:rPr>
          <w:rFonts w:ascii="Times New Roman" w:hAnsi="Times New Roman"/>
          <w:sz w:val="20"/>
        </w:rPr>
        <w:t xml:space="preserve">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legal expenses incurred by it. We will indemnify the selling stockholders against certain liabilities, including some liabilities under the Securities Act, in accordance with a registration rights agreement, or the selling stockholders will be entitled to contribution. We may be indemnified by the selling stockholders against civil liabilities, including liabilities under the Securities Act, that may arise from any written information furnished to us by or on behalf of the selling stockholders specifically for use in this prospectus, in accordance with the related registration rights agreements, or we may be entitled to contribution.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482049_9"/>
      <w:bookmarkEnd w:id="11"/>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Cooley LLP, San Diego, California, will pass upon the validity of the shares of our common stock offered by this prospectus. </w:t>
      </w:r>
    </w:p>
    <w:p>
      <w:pPr>
        <w:pStyle w:val="TextBody"/>
        <w:spacing w:before="480" w:after="0"/>
        <w:jc w:val="center"/>
        <w:rPr>
          <w:rFonts w:ascii="Times New Roman" w:hAnsi="Times New Roman"/>
          <w:b/>
          <w:sz w:val="20"/>
        </w:rPr>
      </w:pPr>
      <w:bookmarkStart w:id="12" w:name="tx482049_10"/>
      <w:bookmarkEnd w:id="12"/>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the consolidated financial statements of Graybug included in our Annual Report on Form 10-K for the year ended December 31, 2022,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the financial statements of CalciMedica included in our Current Report on Form 8-K filed with the SEC on April 4,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spacing w:before="480" w:after="0"/>
        <w:jc w:val="center"/>
        <w:rPr>
          <w:rFonts w:ascii="Times New Roman" w:hAnsi="Times New Roman"/>
          <w:b/>
          <w:sz w:val="20"/>
        </w:rPr>
      </w:pPr>
      <w:bookmarkStart w:id="13" w:name="tx482049_11"/>
      <w:bookmarkEnd w:id="13"/>
      <w:r>
        <w:rPr>
          <w:rFonts w:ascii="Times New Roman" w:hAnsi="Times New Roman"/>
          <w:b/>
          <w:sz w:val="20"/>
        </w:rPr>
        <w:t xml:space="preserve">WHERE YOU CAN FIND ADDITIONAL INFORMATION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website address is http://www.calcimedica.com. Information contained on or accessible through our website is not a part of this prospectus and is not incorporated by reference herein, and the inclusion of our website address in this prospectus is an inactive textual reference only. </w:t>
      </w:r>
    </w:p>
    <w:p>
      <w:pPr>
        <w:pStyle w:val="TextBody"/>
        <w:spacing w:before="480" w:after="0"/>
        <w:jc w:val="center"/>
        <w:rPr>
          <w:rFonts w:ascii="Times New Roman" w:hAnsi="Times New Roman"/>
          <w:b/>
          <w:sz w:val="20"/>
        </w:rPr>
      </w:pPr>
      <w:bookmarkStart w:id="14" w:name="tx482049_12"/>
      <w:bookmarkEnd w:id="14"/>
      <w:r>
        <w:rPr>
          <w:rFonts w:ascii="Times New Roman" w:hAnsi="Times New Roman"/>
          <w:b/>
          <w:sz w:val="20"/>
        </w:rPr>
        <w:t xml:space="preserve">INCORPORATION OF CERTAIN INFORMATION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(other than current reports furnished under Item 2.02 or Item 7.01 of Form 8-K and exhibits filed on such form that are related to such items unless such Form 8-K expressly provides to the contrary):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pPr>
            <w:r>
              <w:rPr>
                <w:rFonts w:ascii="Times New Roman" w:hAnsi="Times New Roman"/>
                <w:sz w:val="20"/>
              </w:rPr>
              <w:t xml:space="preserve">our Definitive Proxy Statement on Schedule 14A, filed with the SEC on </w:t>
            </w:r>
            <w:hyperlink r:id="rId3">
              <w:r>
                <w:rPr>
                  <w:rStyle w:val="InternetLink"/>
                  <w:rFonts w:ascii="Times New Roman" w:hAnsi="Times New Roman"/>
                  <w:sz w:val="20"/>
                </w:rPr>
                <w:t>March 3, 2023</w:t>
              </w:r>
            </w:hyperlink>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Annual Report on Form 10-K for the year ended December 31, 2022, filed with the SEC on </w:t>
            </w:r>
            <w:hyperlink r:id="rId4">
              <w:r>
                <w:rPr>
                  <w:rStyle w:val="InternetLink"/>
                  <w:rFonts w:ascii="Times New Roman" w:hAnsi="Times New Roman"/>
                  <w:sz w:val="20"/>
                </w:rPr>
                <w:t>March 9, 2023</w:t>
              </w:r>
            </w:hyperlink>
            <w:r>
              <w:rPr>
                <w:rFonts w:ascii="Times New Roman" w:hAnsi="Times New Roman"/>
                <w:sz w:val="20"/>
              </w:rPr>
              <w:t xml:space="preserve">, as amended by Amendment No. 1 to our Annual Report on Form 10-K/A for the year ended December 31, 2022, filed with the SEC on </w:t>
            </w:r>
            <w:hyperlink r:id="rId5">
              <w:r>
                <w:rPr>
                  <w:rStyle w:val="InternetLink"/>
                  <w:rFonts w:ascii="Times New Roman" w:hAnsi="Times New Roman"/>
                  <w:sz w:val="20"/>
                </w:rPr>
                <w:t>April  4, 2023</w:t>
              </w:r>
            </w:hyperlink>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our Current Reports on Form 8-K, which were filed with the SEC on </w:t>
            </w:r>
            <w:hyperlink r:id="rId6">
              <w:r>
                <w:rPr>
                  <w:rStyle w:val="InternetLink"/>
                  <w:rFonts w:ascii="Times New Roman" w:hAnsi="Times New Roman"/>
                  <w:sz w:val="20"/>
                </w:rPr>
                <w:t>February 9, 2023</w:t>
              </w:r>
            </w:hyperlink>
            <w:r>
              <w:rPr>
                <w:rFonts w:ascii="Times New Roman" w:hAnsi="Times New Roman"/>
                <w:sz w:val="20"/>
              </w:rPr>
              <w:t xml:space="preserve">, </w:t>
            </w:r>
            <w:hyperlink r:id="rId7">
              <w:r>
                <w:rPr>
                  <w:rStyle w:val="InternetLink"/>
                  <w:rFonts w:ascii="Times New Roman" w:hAnsi="Times New Roman"/>
                  <w:sz w:val="20"/>
                </w:rPr>
                <w:t>February  16, 2023</w:t>
              </w:r>
            </w:hyperlink>
            <w:r>
              <w:rPr>
                <w:rFonts w:ascii="Times New Roman" w:hAnsi="Times New Roman"/>
                <w:sz w:val="20"/>
              </w:rPr>
              <w:t xml:space="preserve">, </w:t>
            </w:r>
            <w:hyperlink r:id="rId8">
              <w:r>
                <w:rPr>
                  <w:rStyle w:val="InternetLink"/>
                  <w:rFonts w:ascii="Times New Roman" w:hAnsi="Times New Roman"/>
                  <w:sz w:val="20"/>
                </w:rPr>
                <w:t>March  3, 2023</w:t>
              </w:r>
            </w:hyperlink>
            <w:r>
              <w:rPr>
                <w:rFonts w:ascii="Times New Roman" w:hAnsi="Times New Roman"/>
                <w:sz w:val="20"/>
              </w:rPr>
              <w:t xml:space="preserve">, </w:t>
            </w:r>
            <w:hyperlink r:id="rId9">
              <w:r>
                <w:rPr>
                  <w:rStyle w:val="InternetLink"/>
                  <w:rFonts w:ascii="Times New Roman" w:hAnsi="Times New Roman"/>
                  <w:sz w:val="20"/>
                </w:rPr>
                <w:t>March  15, 2023</w:t>
              </w:r>
            </w:hyperlink>
            <w:r>
              <w:rPr>
                <w:rFonts w:ascii="Times New Roman" w:hAnsi="Times New Roman"/>
                <w:sz w:val="20"/>
              </w:rPr>
              <w:t xml:space="preserve">, </w:t>
            </w:r>
            <w:hyperlink r:id="rId10">
              <w:r>
                <w:rPr>
                  <w:rStyle w:val="InternetLink"/>
                  <w:rFonts w:ascii="Times New Roman" w:hAnsi="Times New Roman"/>
                  <w:sz w:val="20"/>
                </w:rPr>
                <w:t>March  22, 2023</w:t>
              </w:r>
            </w:hyperlink>
            <w:r>
              <w:rPr>
                <w:rFonts w:ascii="Times New Roman" w:hAnsi="Times New Roman"/>
                <w:sz w:val="20"/>
              </w:rPr>
              <w:t xml:space="preserve"> and </w:t>
            </w:r>
            <w:hyperlink r:id="rId11">
              <w:r>
                <w:rPr>
                  <w:rStyle w:val="InternetLink"/>
                  <w:rFonts w:ascii="Times New Roman" w:hAnsi="Times New Roman"/>
                  <w:sz w:val="20"/>
                </w:rPr>
                <w:t>April 4, 2023</w:t>
              </w:r>
            </w:hyperlink>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pPr>
            <w:r>
              <w:rPr>
                <w:rFonts w:ascii="Times New Roman" w:hAnsi="Times New Roman"/>
                <w:sz w:val="20"/>
              </w:rPr>
              <w:t xml:space="preserve">the description of our common stock in our registration statement on Form 8-A filed with the SEC on </w:t>
            </w:r>
            <w:hyperlink r:id="rId12">
              <w:r>
                <w:rPr>
                  <w:rStyle w:val="InternetLink"/>
                  <w:rFonts w:ascii="Times New Roman" w:hAnsi="Times New Roman"/>
                  <w:sz w:val="20"/>
                </w:rPr>
                <w:t>September 21, 2020</w:t>
              </w:r>
            </w:hyperlink>
            <w:r>
              <w:rPr>
                <w:rFonts w:ascii="Times New Roman" w:hAnsi="Times New Roman"/>
                <w:sz w:val="20"/>
              </w:rPr>
              <w:t xml:space="preserve">, including any amendments or reports filed for the purpose of updating such description.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 </w:t>
      </w:r>
    </w:p>
    <w:p>
      <w:pPr>
        <w:pStyle w:val="TextBody"/>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spacing w:before="240" w:after="0"/>
        <w:jc w:val="left"/>
        <w:rPr>
          <w:rFonts w:ascii="Times New Roman" w:hAnsi="Times New Roman"/>
          <w:sz w:val="20"/>
        </w:rPr>
      </w:pPr>
      <w:r>
        <w:rPr>
          <w:rFonts w:ascii="Times New Roman" w:hAnsi="Times New Roman"/>
          <w:sz w:val="20"/>
        </w:rPr>
        <w:t xml:space="preserve">You can request a copy of these filings, at no cost, by writing or telephoning us at the following address or telephone number: </w:t>
      </w:r>
    </w:p>
    <w:p>
      <w:pPr>
        <w:pStyle w:val="TextBody"/>
        <w:spacing w:before="240" w:after="0"/>
        <w:jc w:val="center"/>
        <w:rPr>
          <w:rFonts w:ascii="Times New Roman" w:hAnsi="Times New Roman"/>
          <w:sz w:val="20"/>
        </w:rPr>
      </w:pPr>
      <w:r>
        <w:rPr>
          <w:rFonts w:ascii="Times New Roman" w:hAnsi="Times New Roman"/>
          <w:sz w:val="20"/>
        </w:rPr>
        <w:t xml:space="preserve">CalciMedica, Inc. </w:t>
      </w:r>
    </w:p>
    <w:p>
      <w:pPr>
        <w:pStyle w:val="TextBody"/>
        <w:spacing w:before="0" w:after="0"/>
        <w:jc w:val="center"/>
        <w:rPr>
          <w:rFonts w:ascii="Times New Roman" w:hAnsi="Times New Roman"/>
          <w:sz w:val="20"/>
        </w:rPr>
      </w:pPr>
      <w:r>
        <w:rPr>
          <w:rFonts w:ascii="Times New Roman" w:hAnsi="Times New Roman"/>
          <w:sz w:val="20"/>
        </w:rPr>
        <w:t xml:space="preserve">505 Coast Boulevard South, Suite 307 </w:t>
      </w:r>
    </w:p>
    <w:p>
      <w:pPr>
        <w:pStyle w:val="TextBody"/>
        <w:spacing w:before="0" w:after="0"/>
        <w:jc w:val="center"/>
        <w:rPr>
          <w:rFonts w:ascii="Times New Roman" w:hAnsi="Times New Roman"/>
          <w:sz w:val="20"/>
        </w:rPr>
      </w:pPr>
      <w:r>
        <w:rPr>
          <w:rFonts w:ascii="Times New Roman" w:hAnsi="Times New Roman"/>
          <w:sz w:val="20"/>
        </w:rPr>
        <w:t xml:space="preserve">La Jolla, California 92037 </w:t>
      </w:r>
    </w:p>
    <w:p>
      <w:pPr>
        <w:pStyle w:val="TextBody"/>
        <w:spacing w:before="0" w:after="0"/>
        <w:jc w:val="center"/>
        <w:rPr>
          <w:rFonts w:ascii="Times New Roman" w:hAnsi="Times New Roman"/>
          <w:sz w:val="20"/>
        </w:rPr>
      </w:pPr>
      <w:r>
        <w:rPr>
          <w:rFonts w:ascii="Times New Roman" w:hAnsi="Times New Roman"/>
          <w:sz w:val="20"/>
        </w:rPr>
        <w:t xml:space="preserve">Attn: Investor Relations </w:t>
      </w:r>
    </w:p>
    <w:p>
      <w:pPr>
        <w:pStyle w:val="TextBody"/>
        <w:spacing w:before="0" w:after="0"/>
        <w:jc w:val="center"/>
        <w:rPr>
          <w:rFonts w:ascii="Times New Roman" w:hAnsi="Times New Roman"/>
          <w:sz w:val="20"/>
        </w:rPr>
      </w:pPr>
      <w:r>
        <w:rPr>
          <w:rFonts w:ascii="Times New Roman" w:hAnsi="Times New Roman"/>
          <w:sz w:val="20"/>
        </w:rPr>
        <w:t xml:space="preserve">(858) 952-5500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551"/>
        <w:gridCol w:w="351"/>
        <w:gridCol w:w="156"/>
        <w:gridCol w:w="715"/>
        <w:gridCol w:w="166"/>
      </w:tblGrid>
      <w:tr>
        <w:trPr/>
        <w:tc>
          <w:tcPr>
            <w:tcW w:w="55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5551"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871" w:type="dxa"/>
            <w:gridSpan w:val="2"/>
            <w:tcBorders/>
            <w:shd w:fill="auto" w:val="clear"/>
            <w:vAlign w:val="bottom"/>
          </w:tcPr>
          <w:p>
            <w:pPr>
              <w:pStyle w:val="TableContents"/>
              <w:spacing w:before="0" w:after="283"/>
              <w:jc w:val="center"/>
              <w:rPr>
                <w:b/>
              </w:rPr>
            </w:pPr>
            <w:r>
              <w:rPr>
                <w:b/>
              </w:rPr>
              <w:t>Amount</w:t>
            </w:r>
          </w:p>
        </w:tc>
        <w:tc>
          <w:tcPr>
            <w:tcW w:w="166" w:type="dxa"/>
            <w:tcBorders/>
            <w:shd w:fill="auto" w:val="clear"/>
            <w:vAlign w:val="bottom"/>
          </w:tcPr>
          <w:p>
            <w:pPr>
              <w:pStyle w:val="TableContents"/>
              <w:spacing w:before="0" w:after="283"/>
              <w:rPr/>
            </w:pPr>
            <w:r>
              <w:rPr/>
              <w:t> </w:t>
            </w:r>
          </w:p>
        </w:tc>
      </w:tr>
      <w:tr>
        <w:trPr/>
        <w:tc>
          <w:tcPr>
            <w:tcW w:w="5551" w:type="dxa"/>
            <w:tcBorders/>
            <w:shd w:fill="CCEEFF" w:val="clear"/>
          </w:tcPr>
          <w:p>
            <w:pPr>
              <w:pStyle w:val="TableContents"/>
              <w:spacing w:before="0" w:after="0"/>
              <w:rPr>
                <w:rFonts w:ascii="Times New Roman" w:hAnsi="Times New Roman"/>
                <w:sz w:val="20"/>
              </w:rPr>
            </w:pPr>
            <w:r>
              <w:rPr>
                <w:rFonts w:ascii="Times New Roman" w:hAnsi="Times New Roman"/>
                <w:sz w:val="20"/>
              </w:rPr>
              <w:t>SEC registration fee</w:t>
            </w:r>
          </w:p>
        </w:tc>
        <w:tc>
          <w:tcPr>
            <w:tcW w:w="35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715" w:type="dxa"/>
            <w:tcBorders/>
            <w:shd w:fill="CCEEFF" w:val="clear"/>
            <w:vAlign w:val="bottom"/>
          </w:tcPr>
          <w:p>
            <w:pPr>
              <w:pStyle w:val="TableContents"/>
              <w:spacing w:before="0" w:after="283"/>
              <w:jc w:val="right"/>
              <w:rPr/>
            </w:pPr>
            <w:r>
              <w:rPr/>
              <w:t>2,486</w:t>
            </w:r>
          </w:p>
        </w:tc>
        <w:tc>
          <w:tcPr>
            <w:tcW w:w="166" w:type="dxa"/>
            <w:tcBorders/>
            <w:shd w:fill="CCEEFF" w:val="clear"/>
            <w:vAlign w:val="bottom"/>
          </w:tcPr>
          <w:p>
            <w:pPr>
              <w:pStyle w:val="TableContents"/>
              <w:spacing w:before="0" w:after="283"/>
              <w:rPr/>
            </w:pPr>
            <w:r>
              <w:rPr/>
              <w:t> </w:t>
            </w:r>
          </w:p>
        </w:tc>
      </w:tr>
      <w:tr>
        <w:trPr/>
        <w:tc>
          <w:tcPr>
            <w:tcW w:w="5551" w:type="dxa"/>
            <w:tcBorders/>
            <w:shd w:fill="auto" w:val="clear"/>
          </w:tcPr>
          <w:p>
            <w:pPr>
              <w:pStyle w:val="TableContents"/>
              <w:spacing w:before="0" w:after="0"/>
              <w:rPr>
                <w:rFonts w:ascii="Times New Roman" w:hAnsi="Times New Roman"/>
                <w:sz w:val="20"/>
              </w:rPr>
            </w:pPr>
            <w:r>
              <w:rPr>
                <w:rFonts w:ascii="Times New Roman" w:hAnsi="Times New Roman"/>
                <w:sz w:val="20"/>
              </w:rPr>
              <w:t>Financial Industry Regulatory Authority filing fee</w:t>
            </w:r>
          </w:p>
        </w:tc>
        <w:tc>
          <w:tcPr>
            <w:tcW w:w="3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(1</w:t>
            </w:r>
          </w:p>
        </w:tc>
        <w:tc>
          <w:tcPr>
            <w:tcW w:w="166" w:type="dxa"/>
            <w:tcBorders/>
            <w:shd w:fill="auto" w:val="clear"/>
            <w:vAlign w:val="bottom"/>
          </w:tcPr>
          <w:p>
            <w:pPr>
              <w:pStyle w:val="TableContents"/>
              <w:spacing w:before="0" w:after="283"/>
              <w:rPr/>
            </w:pPr>
            <w:r>
              <w:rPr/>
              <w:t>) </w:t>
            </w:r>
          </w:p>
        </w:tc>
      </w:tr>
      <w:tr>
        <w:trPr/>
        <w:tc>
          <w:tcPr>
            <w:tcW w:w="5551" w:type="dxa"/>
            <w:tcBorders/>
            <w:shd w:fill="CCEEFF" w:val="clear"/>
          </w:tcPr>
          <w:p>
            <w:pPr>
              <w:pStyle w:val="TableContents"/>
              <w:spacing w:before="0" w:after="0"/>
              <w:rPr>
                <w:rFonts w:ascii="Times New Roman" w:hAnsi="Times New Roman"/>
                <w:sz w:val="20"/>
              </w:rPr>
            </w:pPr>
            <w:r>
              <w:rPr>
                <w:rFonts w:ascii="Times New Roman" w:hAnsi="Times New Roman"/>
                <w:sz w:val="20"/>
              </w:rPr>
              <w:t>Accounting fees and expenses</w:t>
            </w:r>
          </w:p>
        </w:tc>
        <w:tc>
          <w:tcPr>
            <w:tcW w:w="35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10,000</w:t>
            </w:r>
          </w:p>
        </w:tc>
        <w:tc>
          <w:tcPr>
            <w:tcW w:w="166" w:type="dxa"/>
            <w:tcBorders/>
            <w:shd w:fill="CCEEFF" w:val="clear"/>
            <w:vAlign w:val="bottom"/>
          </w:tcPr>
          <w:p>
            <w:pPr>
              <w:pStyle w:val="TableContents"/>
              <w:spacing w:before="0" w:after="283"/>
              <w:rPr/>
            </w:pPr>
            <w:r>
              <w:rPr/>
              <w:t> </w:t>
            </w:r>
          </w:p>
        </w:tc>
      </w:tr>
      <w:tr>
        <w:trPr/>
        <w:tc>
          <w:tcPr>
            <w:tcW w:w="5551" w:type="dxa"/>
            <w:tcBorders/>
            <w:shd w:fill="auto" w:val="clear"/>
          </w:tcPr>
          <w:p>
            <w:pPr>
              <w:pStyle w:val="TableContents"/>
              <w:spacing w:before="0" w:after="0"/>
              <w:rPr>
                <w:rFonts w:ascii="Times New Roman" w:hAnsi="Times New Roman"/>
                <w:sz w:val="20"/>
              </w:rPr>
            </w:pPr>
            <w:r>
              <w:rPr>
                <w:rFonts w:ascii="Times New Roman" w:hAnsi="Times New Roman"/>
                <w:sz w:val="20"/>
              </w:rPr>
              <w:t>Legal fees and expenses</w:t>
            </w:r>
          </w:p>
        </w:tc>
        <w:tc>
          <w:tcPr>
            <w:tcW w:w="3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50,000</w:t>
            </w:r>
          </w:p>
        </w:tc>
        <w:tc>
          <w:tcPr>
            <w:tcW w:w="166" w:type="dxa"/>
            <w:tcBorders/>
            <w:shd w:fill="auto" w:val="clear"/>
            <w:vAlign w:val="bottom"/>
          </w:tcPr>
          <w:p>
            <w:pPr>
              <w:pStyle w:val="TableContents"/>
              <w:spacing w:before="0" w:after="283"/>
              <w:rPr/>
            </w:pPr>
            <w:r>
              <w:rPr/>
              <w:t> </w:t>
            </w:r>
          </w:p>
        </w:tc>
      </w:tr>
      <w:tr>
        <w:trPr/>
        <w:tc>
          <w:tcPr>
            <w:tcW w:w="5551" w:type="dxa"/>
            <w:tcBorders/>
            <w:shd w:fill="CCEEFF" w:val="clear"/>
          </w:tcPr>
          <w:p>
            <w:pPr>
              <w:pStyle w:val="TableContents"/>
              <w:spacing w:before="0" w:after="0"/>
              <w:rPr>
                <w:rFonts w:ascii="Times New Roman" w:hAnsi="Times New Roman"/>
                <w:sz w:val="20"/>
              </w:rPr>
            </w:pPr>
            <w:r>
              <w:rPr>
                <w:rFonts w:ascii="Times New Roman" w:hAnsi="Times New Roman"/>
                <w:sz w:val="20"/>
              </w:rPr>
              <w:t>Miscellaneous fees and expenses</w:t>
            </w:r>
          </w:p>
        </w:tc>
        <w:tc>
          <w:tcPr>
            <w:tcW w:w="35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7,514</w:t>
            </w:r>
          </w:p>
        </w:tc>
        <w:tc>
          <w:tcPr>
            <w:tcW w:w="166" w:type="dxa"/>
            <w:tcBorders/>
            <w:shd w:fill="CCEEFF" w:val="clear"/>
            <w:vAlign w:val="bottom"/>
          </w:tcPr>
          <w:p>
            <w:pPr>
              <w:pStyle w:val="TableContents"/>
              <w:spacing w:before="0" w:after="283"/>
              <w:rPr/>
            </w:pPr>
            <w:r>
              <w:rPr/>
              <w:t> </w:t>
            </w:r>
          </w:p>
        </w:tc>
      </w:tr>
      <w:tr>
        <w:trPr/>
        <w:tc>
          <w:tcPr>
            <w:tcW w:w="5551"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0"/>
              <w:rPr/>
            </w:pPr>
            <w:r>
              <w:rPr/>
              <w:t> </w:t>
            </w:r>
          </w:p>
        </w:tc>
        <w:tc>
          <w:tcPr>
            <w:tcW w:w="715"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5551"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3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w:t>
            </w:r>
          </w:p>
        </w:tc>
        <w:tc>
          <w:tcPr>
            <w:tcW w:w="715" w:type="dxa"/>
            <w:tcBorders/>
            <w:shd w:fill="auto" w:val="clear"/>
            <w:vAlign w:val="bottom"/>
          </w:tcPr>
          <w:p>
            <w:pPr>
              <w:pStyle w:val="TableContents"/>
              <w:spacing w:before="0" w:after="283"/>
              <w:jc w:val="right"/>
              <w:rPr/>
            </w:pPr>
            <w:r>
              <w:rPr/>
              <w:t>70,000</w:t>
            </w:r>
          </w:p>
        </w:tc>
        <w:tc>
          <w:tcPr>
            <w:tcW w:w="166" w:type="dxa"/>
            <w:tcBorders/>
            <w:shd w:fill="auto" w:val="clear"/>
            <w:vAlign w:val="bottom"/>
          </w:tcPr>
          <w:p>
            <w:pPr>
              <w:pStyle w:val="TableContents"/>
              <w:spacing w:before="0" w:after="283"/>
              <w:rPr/>
            </w:pPr>
            <w:r>
              <w:rPr/>
              <w:t> </w:t>
            </w:r>
          </w:p>
        </w:tc>
      </w:tr>
      <w:tr>
        <w:trPr/>
        <w:tc>
          <w:tcPr>
            <w:tcW w:w="5551"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double" w:sz="6" w:space="1" w:color="000000"/>
              </w:pBdr>
              <w:spacing w:before="0" w:after="0"/>
              <w:rPr/>
            </w:pPr>
            <w:r>
              <w:rPr/>
              <w:t> </w:t>
            </w:r>
          </w:p>
        </w:tc>
        <w:tc>
          <w:tcPr>
            <w:tcW w:w="715" w:type="dxa"/>
            <w:tcBorders/>
            <w:shd w:fill="auto" w:val="clear"/>
            <w:vAlign w:val="bottom"/>
          </w:tcPr>
          <w:p>
            <w:pPr>
              <w:pStyle w:val="TableContents"/>
              <w:pBdr>
                <w:top w:val="double" w:sz="6"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fee is calculated based on the securities offered and the number of issuances and accordingly cannot be estimated at this time. </w:t>
            </w:r>
          </w:p>
        </w:tc>
      </w:tr>
    </w:tbl>
    <w:p>
      <w:pPr>
        <w:pStyle w:val="TextBody"/>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Section 145 of the Delaware General Corporation Law, or the DGCL, empowers a Delaware corporation to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was an officer or director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officer or director acted in good faith and in a manner he reasonably believed to be in or not opposed to the corporations best interests, and, for criminal proceedings, had no reasonable cause to believe his conduct was illegal.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his duty. Where an officer or director is successful on the merits or otherwise in the defense of any action referred to above, the corporation must indemnify him against the expenses which such officer or director actually and reasonably incurred. </w:t>
      </w:r>
    </w:p>
    <w:p>
      <w:pPr>
        <w:pStyle w:val="TextBody"/>
        <w:spacing w:before="240" w:after="0"/>
        <w:jc w:val="left"/>
        <w:rPr>
          <w:rFonts w:ascii="Times New Roman" w:hAnsi="Times New Roman"/>
          <w:sz w:val="20"/>
        </w:rPr>
      </w:pPr>
      <w:r>
        <w:rPr>
          <w:rFonts w:ascii="Times New Roman" w:hAnsi="Times New Roman"/>
          <w:sz w:val="20"/>
        </w:rPr>
        <w:t xml:space="preserve">Our certificate of incorporation and bylaws provide that we will have the power to indemnify, to the extent permitted by the DGCL, as it presently exists or may hereafter be amended from time to time, any person who was or is a party or is threatened to be made a party to any threatened, pending or completed action, suit or proceeding, whether civil, criminal, administrative or investigative (a Proceeding) by reason of the fact that he or she is or was a director, officer, employee or agent of the Corporation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bylaws also provide that the right of directors and officers to indemnification shall be a contract right and shall not be exclusive of any other right now possessed or hereafter acquired under any statute, provision of the certificate of incorporation, bylaw, agreement, vote of stockholders or disinterested directors or otherwise. The bylaws also permit us to secure insurance on behalf of any officer, director, employee, or other agent for any liability arising out of his or her actions in such capacity, regardless of whether the bylaws would permit indemnification of any such liability.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102(b)(7) of the DGCL provides that directors shall not be personally liable for monetary damages for breaches of their fiduciary duty as directors except for (i) breaches of their duty of loyalty to us or our stockholders, (ii) acts or omissions not in good faith or which involve intentional misconduct or knowing violations of law, (iii) certain transactions under Section 174 of the DGCL (unlawful payment of dividends or unlawful stock purchases or redemptions), or (iv) transactions from which a director derives an improper personal benefit. Our certificate of incorporation includes such a provision. The effect of this provision is to eliminate the personal liability of directors for monetary damages or actions involving a breach of their fiduciary duty of care, including any actions involving gross negligence. </w:t>
      </w:r>
    </w:p>
    <w:p>
      <w:pPr>
        <w:pStyle w:val="TextBody"/>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directors and officers that require us, among other things, to indemnify them against certain liabilities that may arise by reason of their status or service, so long as the indemnitee acted in good faith and in a manner the indemnitee reasonably believed to be in or not opposed to the best interests of us, and, with respect to any criminal action or proceeding, the indemnitee had no reasonable cause to believe his or her conduct was unlawful. We also maintain director and officer liability insurance to insure our directors and officers against the cost of defense, settlement or payment of a judgment under specified circumstances. </w:t>
      </w:r>
    </w:p>
    <w:p>
      <w:pPr>
        <w:pStyle w:val="TextBody"/>
        <w:spacing w:before="360" w:after="0"/>
        <w:jc w:val="left"/>
        <w:rPr>
          <w:rFonts w:ascii="Times New Roman" w:hAnsi="Times New Roman"/>
          <w:b/>
          <w:sz w:val="20"/>
        </w:rPr>
      </w:pPr>
      <w:r>
        <w:rPr>
          <w:rFonts w:ascii="Times New Roman" w:hAnsi="Times New Roman"/>
          <w:b/>
          <w:sz w:val="20"/>
        </w:rPr>
        <w:t xml:space="preserve">Item 16. 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8"/>
        <w:gridCol w:w="320"/>
        <w:gridCol w:w="4719"/>
        <w:gridCol w:w="204"/>
        <w:gridCol w:w="142"/>
        <w:gridCol w:w="815"/>
        <w:gridCol w:w="60"/>
        <w:gridCol w:w="204"/>
        <w:gridCol w:w="60"/>
        <w:gridCol w:w="947"/>
        <w:gridCol w:w="60"/>
        <w:gridCol w:w="204"/>
        <w:gridCol w:w="121"/>
        <w:gridCol w:w="651"/>
        <w:gridCol w:w="60"/>
        <w:gridCol w:w="204"/>
        <w:gridCol w:w="59"/>
        <w:gridCol w:w="691"/>
        <w:gridCol w:w="66"/>
      </w:tblGrid>
      <w:tr>
        <w:trPr/>
        <w:tc>
          <w:tcPr>
            <w:tcW w:w="61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471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47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278"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Incorporated by Reference</w:t>
            </w:r>
          </w:p>
        </w:tc>
        <w:tc>
          <w:tcPr>
            <w:tcW w:w="66" w:type="dxa"/>
            <w:tcBorders/>
            <w:shd w:fill="auto" w:val="clear"/>
            <w:vAlign w:val="bottom"/>
          </w:tcPr>
          <w:p>
            <w:pPr>
              <w:pStyle w:val="TableContents"/>
              <w:spacing w:before="0" w:after="283"/>
              <w:rPr/>
            </w:pPr>
            <w:r>
              <w:rPr/>
              <w:t> </w:t>
            </w:r>
          </w:p>
        </w:tc>
      </w:tr>
      <w:tr>
        <w:trPr/>
        <w:tc>
          <w:tcPr>
            <w:tcW w:w="618"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320" w:type="dxa"/>
            <w:tcBorders/>
            <w:shd w:fill="auto" w:val="clear"/>
            <w:vAlign w:val="bottom"/>
          </w:tcPr>
          <w:p>
            <w:pPr>
              <w:pStyle w:val="TableContents"/>
              <w:spacing w:before="0" w:after="283"/>
              <w:rPr/>
            </w:pPr>
            <w:r>
              <w:rPr/>
              <w:t>  </w:t>
            </w:r>
          </w:p>
        </w:tc>
        <w:tc>
          <w:tcPr>
            <w:tcW w:w="471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c>
          <w:tcPr>
            <w:tcW w:w="204" w:type="dxa"/>
            <w:tcBorders/>
            <w:shd w:fill="auto" w:val="clear"/>
            <w:vAlign w:val="bottom"/>
          </w:tcPr>
          <w:p>
            <w:pPr>
              <w:pStyle w:val="TableContents"/>
              <w:spacing w:before="0" w:after="283"/>
              <w:rPr/>
            </w:pPr>
            <w:r>
              <w:rPr/>
              <w:t>  </w:t>
            </w:r>
          </w:p>
        </w:tc>
        <w:tc>
          <w:tcPr>
            <w:tcW w:w="9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Schedule</w:t>
              <w:br/>
              <w:t>Form</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File</w:t>
            </w:r>
            <w:r>
              <w:rPr/>
              <w:br/>
            </w:r>
            <w:r>
              <w:rPr>
                <w:b/>
              </w:rPr>
              <w:t>Number</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Exhibit</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Filing</w:t>
            </w:r>
            <w:r>
              <w:rPr/>
              <w:br/>
            </w:r>
            <w:r>
              <w:rPr>
                <w:b/>
              </w:rPr>
              <w:t>Date</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2.1</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13">
              <w:r>
                <w:rPr>
                  <w:rStyle w:val="InternetLink"/>
                </w:rPr>
                <w:t xml:space="preserve">Agreement and Plan of Merger and Reorganization, dated as of November  21, 2022, by and among Graybug Vision, Inc., Camaro Merger Sub, Inc. and CalciMedica, Inc., as amended by the First Amendment dated February 10, 2023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2.1</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3.1</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14">
              <w:r>
                <w:rPr>
                  <w:rStyle w:val="InternetLink"/>
                </w:rPr>
                <w:t xml:space="preserve">Amended and Restated Certificate of Incorporation of the Registrant.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3.2</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15">
              <w:r>
                <w:rPr>
                  <w:rStyle w:val="InternetLink"/>
                </w:rPr>
                <w:t xml:space="preserve">Certificate of Amendment, dated March 20, 2023 to the Amended and Restated Certificate of Incorporation of the Registrant.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3.2</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3.3</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16">
              <w:r>
                <w:rPr>
                  <w:rStyle w:val="InternetLink"/>
                </w:rPr>
                <w:t>Restated Bylaws of the Registrant.</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10-Q</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3.2</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11/12/2020</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4.1</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r>
              <w:rPr/>
              <w:t>Reference is made to Exhibits 3.1 through 3.3.</w:t>
            </w:r>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4.2</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17">
              <w:r>
                <w:rPr>
                  <w:rStyle w:val="InternetLink"/>
                </w:rPr>
                <w:t xml:space="preserve">Form of Common Stock Certificate of the Registrant.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S-1/A</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333-248611</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4.1</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9/21/2020</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4.3</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18">
              <w:r>
                <w:rPr>
                  <w:rStyle w:val="InternetLink"/>
                </w:rPr>
                <w:t xml:space="preserve">Registration Rights Agreement, dated November 21, 2022, by and among CalciMedica, Inc. and the several purchasers signatory thereto.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4.1</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4.4</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19">
              <w:r>
                <w:rPr>
                  <w:rStyle w:val="InternetLink"/>
                </w:rPr>
                <w:t xml:space="preserve">Form of Warrant to Purchase Shares of Series D Convertible Preferred Stock of CalciMedica, Inc.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4.2</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4.5</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20">
              <w:r>
                <w:rPr>
                  <w:rStyle w:val="InternetLink"/>
                </w:rPr>
                <w:t xml:space="preserve">Warrant to Purchase Common Stock, dated as of November 9, 2020, issued by CalciMedica, Inc. to SG Dan Equity Holdings, LLC.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4.3</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4.6</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21">
              <w:r>
                <w:rPr>
                  <w:rStyle w:val="InternetLink"/>
                </w:rPr>
                <w:t xml:space="preserve">Warrant to Purchase Common Stock, dated as of October 18, 2022, issued by CalciMedica, Inc. to SG Dan Equity Holdings, LLC.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4.4</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4.7</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22">
              <w:r>
                <w:rPr>
                  <w:rStyle w:val="InternetLink"/>
                </w:rPr>
                <w:t xml:space="preserve">Warrant to Purchase Common Stock, dated as of October 18, 2022, issued by CalciMedica, Inc. to Eric Roberts.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4.5</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4.8</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r:id="rId23">
              <w:r>
                <w:rPr>
                  <w:rStyle w:val="InternetLink"/>
                </w:rPr>
                <w:t xml:space="preserve">Warrant to Purchase Common Stock, dated as of October 25, 2022, issued by CalciMedica, Inc. to Fred Middleton.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8-K</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001-39538</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4.6</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3/22/2023</w:t>
            </w:r>
          </w:p>
        </w:tc>
        <w:tc>
          <w:tcPr>
            <w:tcW w:w="66" w:type="dxa"/>
            <w:tcBorders/>
            <w:shd w:fill="auto" w:val="clear"/>
            <w:vAlign w:val="bottom"/>
          </w:tcPr>
          <w:p>
            <w:pPr>
              <w:pStyle w:val="TableContents"/>
              <w:spacing w:before="0" w:after="283"/>
              <w:rPr/>
            </w:pPr>
            <w:r>
              <w:rPr/>
              <w:t> </w:t>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4.9</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w:anchor="d482049dex49.htm">
              <w:r>
                <w:rPr>
                  <w:rStyle w:val="InternetLink"/>
                </w:rPr>
                <w:t xml:space="preserve">Form of Warrant to Purchase Series B Convertible Preferred Stock of CalciMedica, Inc.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5.1</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w:anchor="d482049dex51.htm">
              <w:r>
                <w:rPr>
                  <w:rStyle w:val="InternetLink"/>
                </w:rPr>
                <w:t xml:space="preserve">Opinion of Cooley LLP.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23.1</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w:anchor="d482049dex231.htm">
              <w:r>
                <w:rPr>
                  <w:rStyle w:val="InternetLink"/>
                </w:rPr>
                <w:t xml:space="preserve">Consent of Independent Registered Public Accounting Firm.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23.2</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w:anchor="d482049dex232.htm">
              <w:r>
                <w:rPr>
                  <w:rStyle w:val="InternetLink"/>
                </w:rPr>
                <w:t xml:space="preserve">Consent of Independent Registered Public Accounting Firm.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23.3</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w:anchor="d482049dex51.htm">
              <w:r>
                <w:rPr>
                  <w:rStyle w:val="InternetLink"/>
                </w:rPr>
                <w:t xml:space="preserve">Consent of Cooley LLP (included in Exhibit 5.1)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24.1</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w:anchor="sig">
              <w:r>
                <w:rPr>
                  <w:rStyle w:val="InternetLink"/>
                </w:rPr>
                <w:t>Power of attorney (included in signature page to the registration statement)</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8" w:type="dxa"/>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c>
          <w:tcPr>
            <w:tcW w:w="1271" w:type="dxa"/>
            <w:gridSpan w:val="4"/>
            <w:tcBorders/>
            <w:shd w:fill="auto" w:val="clear"/>
            <w:vAlign w:val="center"/>
          </w:tcPr>
          <w:p>
            <w:pPr>
              <w:pStyle w:val="TableContents"/>
              <w:spacing w:before="0" w:after="283"/>
              <w:rPr>
                <w:sz w:val="4"/>
                <w:szCs w:val="4"/>
              </w:rPr>
            </w:pPr>
            <w:r>
              <w:rPr>
                <w:sz w:val="4"/>
                <w:szCs w:val="4"/>
              </w:rPr>
            </w:r>
          </w:p>
        </w:tc>
        <w:tc>
          <w:tcPr>
            <w:tcW w:w="1036"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r>
      <w:tr>
        <w:trPr/>
        <w:tc>
          <w:tcPr>
            <w:tcW w:w="618" w:type="dxa"/>
            <w:tcBorders/>
            <w:shd w:fill="auto" w:val="clear"/>
          </w:tcPr>
          <w:p>
            <w:pPr>
              <w:pStyle w:val="TableContents"/>
              <w:spacing w:before="0" w:after="283"/>
              <w:rPr/>
            </w:pPr>
            <w:r>
              <w:rPr/>
              <w:t>107</w:t>
            </w:r>
          </w:p>
        </w:tc>
        <w:tc>
          <w:tcPr>
            <w:tcW w:w="320" w:type="dxa"/>
            <w:tcBorders/>
            <w:shd w:fill="auto" w:val="clear"/>
            <w:vAlign w:val="bottom"/>
          </w:tcPr>
          <w:p>
            <w:pPr>
              <w:pStyle w:val="TableContents"/>
              <w:spacing w:before="0" w:after="283"/>
              <w:rPr/>
            </w:pPr>
            <w:r>
              <w:rPr/>
              <w:t>  </w:t>
            </w:r>
          </w:p>
        </w:tc>
        <w:tc>
          <w:tcPr>
            <w:tcW w:w="4719" w:type="dxa"/>
            <w:tcBorders/>
            <w:shd w:fill="auto" w:val="clear"/>
          </w:tcPr>
          <w:p>
            <w:pPr>
              <w:pStyle w:val="TableContents"/>
              <w:spacing w:before="0" w:after="283"/>
              <w:rPr/>
            </w:pPr>
            <w:hyperlink w:anchor="d482049dexfilingfees.htm">
              <w:r>
                <w:rPr>
                  <w:rStyle w:val="InternetLink"/>
                </w:rPr>
                <w:t xml:space="preserve">Filing Fee Table </w:t>
              </w:r>
            </w:hyperlink>
          </w:p>
        </w:tc>
        <w:tc>
          <w:tcPr>
            <w:tcW w:w="2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Item 17. Undertakings </w:t>
      </w:r>
    </w:p>
    <w:p>
      <w:pPr>
        <w:pStyle w:val="TextBody"/>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 Jolla, State of California, on April 4,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96"/>
        <w:gridCol w:w="60"/>
        <w:gridCol w:w="3626"/>
      </w:tblGrid>
      <w:tr>
        <w:trPr/>
        <w:tc>
          <w:tcPr>
            <w:tcW w:w="3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CALCIMEDICA, INC.</w:t>
            </w:r>
          </w:p>
        </w:tc>
      </w:tr>
      <w:tr>
        <w:trPr>
          <w:trHeight w:val="240" w:hRule="atLeast"/>
        </w:trPr>
        <w:tc>
          <w:tcPr>
            <w:tcW w:w="396" w:type="dxa"/>
            <w:tcBorders/>
            <w:shd w:fill="auto" w:val="clear"/>
            <w:vAlign w:val="center"/>
          </w:tcPr>
          <w:p>
            <w:pPr>
              <w:pStyle w:val="TableContents"/>
              <w:spacing w:before="0" w:after="283"/>
              <w:rPr>
                <w:sz w:val="4"/>
                <w:szCs w:val="4"/>
              </w:rPr>
            </w:pPr>
            <w:r>
              <w:rPr>
                <w:sz w:val="4"/>
                <w:szCs w:val="4"/>
              </w:rPr>
            </w:r>
          </w:p>
        </w:tc>
        <w:tc>
          <w:tcPr>
            <w:tcW w:w="3686" w:type="dxa"/>
            <w:gridSpan w:val="2"/>
            <w:tcBorders/>
            <w:shd w:fill="auto" w:val="clear"/>
            <w:vAlign w:val="center"/>
          </w:tcPr>
          <w:p>
            <w:pPr>
              <w:pStyle w:val="TableContents"/>
              <w:spacing w:before="0" w:after="283"/>
              <w:rPr>
                <w:sz w:val="4"/>
                <w:szCs w:val="4"/>
              </w:rPr>
            </w:pPr>
            <w:r>
              <w:rPr>
                <w:sz w:val="4"/>
                <w:szCs w:val="4"/>
              </w:rPr>
            </w:r>
          </w:p>
        </w:tc>
      </w:tr>
      <w:tr>
        <w:trPr/>
        <w:tc>
          <w:tcPr>
            <w:tcW w:w="39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2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 Rachel Leheny, Ph.D.</w:t>
            </w:r>
          </w:p>
        </w:tc>
      </w:tr>
      <w:tr>
        <w:trPr/>
        <w:tc>
          <w:tcPr>
            <w:tcW w:w="39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6" w:type="dxa"/>
            <w:tcBorders/>
            <w:shd w:fill="auto" w:val="clear"/>
          </w:tcPr>
          <w:p>
            <w:pPr>
              <w:pStyle w:val="TableContents"/>
              <w:spacing w:before="0" w:after="283"/>
              <w:rPr/>
            </w:pPr>
            <w:r>
              <w:rPr/>
              <w:t>A. Rachel Leheny, Ph.D.</w:t>
            </w:r>
          </w:p>
        </w:tc>
      </w:tr>
      <w:tr>
        <w:trPr/>
        <w:tc>
          <w:tcPr>
            <w:tcW w:w="39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6" w:type="dxa"/>
            <w:tcBorders/>
            <w:shd w:fill="auto" w:val="clear"/>
          </w:tcPr>
          <w:p>
            <w:pPr>
              <w:pStyle w:val="TableContents"/>
              <w:spacing w:before="0" w:after="283"/>
              <w:rPr/>
            </w:pPr>
            <w:r>
              <w:rPr/>
              <w:t>Chief Executive Officer</w:t>
            </w:r>
          </w:p>
        </w:tc>
      </w:tr>
    </w:tbl>
    <w:p>
      <w:pPr>
        <w:pStyle w:val="TextBody"/>
        <w:spacing w:before="480" w:after="0"/>
        <w:jc w:val="center"/>
        <w:rPr>
          <w:rFonts w:ascii="Times New Roman" w:hAnsi="Times New Roman"/>
          <w:b/>
          <w:sz w:val="20"/>
        </w:rPr>
      </w:pPr>
      <w:r>
        <w:rPr>
          <w:rFonts w:ascii="Times New Roman" w:hAnsi="Times New Roman"/>
          <w:b/>
          <w:sz w:val="20"/>
        </w:rPr>
        <w:t>POWER OF ATTORNEY</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A. Rachel Leheny, Ph.D. and Daniel Geffken,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CalciMedica,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92"/>
        <w:gridCol w:w="120"/>
        <w:gridCol w:w="3293"/>
        <w:gridCol w:w="120"/>
        <w:gridCol w:w="3080"/>
      </w:tblGrid>
      <w:tr>
        <w:trPr/>
        <w:tc>
          <w:tcPr>
            <w:tcW w:w="35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r>
      <w:tr>
        <w:trPr/>
        <w:tc>
          <w:tcPr>
            <w:tcW w:w="359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0" w:type="dxa"/>
            <w:tcBorders/>
            <w:shd w:fill="auto" w:val="clear"/>
            <w:vAlign w:val="bottom"/>
          </w:tcPr>
          <w:p>
            <w:pPr>
              <w:pStyle w:val="TableContents"/>
              <w:spacing w:before="0" w:after="283"/>
              <w:rPr/>
            </w:pPr>
            <w:r>
              <w:rPr/>
              <w:t>  </w:t>
            </w:r>
          </w:p>
        </w:tc>
        <w:tc>
          <w:tcPr>
            <w:tcW w:w="329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120" w:type="dxa"/>
            <w:tcBorders/>
            <w:shd w:fill="auto" w:val="clear"/>
            <w:vAlign w:val="bottom"/>
          </w:tcPr>
          <w:p>
            <w:pPr>
              <w:pStyle w:val="TableContents"/>
              <w:spacing w:before="0" w:after="283"/>
              <w:rPr/>
            </w:pPr>
            <w:r>
              <w:rPr/>
              <w:t>  </w:t>
            </w:r>
          </w:p>
        </w:tc>
        <w:tc>
          <w:tcPr>
            <w:tcW w:w="308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92"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359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A. RACHEL LEHENY, PH.D.</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pPr>
            <w:r>
              <w:rPr/>
              <w:t>Chief Executive Officer and Director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jc w:val="center"/>
              <w:rPr/>
            </w:pPr>
            <w:r>
              <w:rPr/>
              <w:t>April 4, 2023</w:t>
            </w:r>
          </w:p>
        </w:tc>
      </w:tr>
      <w:tr>
        <w:trPr/>
        <w:tc>
          <w:tcPr>
            <w:tcW w:w="3592" w:type="dxa"/>
            <w:tcBorders/>
            <w:shd w:fill="auto" w:val="clear"/>
          </w:tcPr>
          <w:p>
            <w:pPr>
              <w:pStyle w:val="TableContents"/>
              <w:spacing w:before="0" w:after="283"/>
              <w:jc w:val="center"/>
              <w:rPr/>
            </w:pPr>
            <w:r>
              <w:rPr/>
              <w:t>A. Rachel Leheny, Ph.D.</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i/>
              </w:rPr>
            </w:pPr>
            <w:r>
              <w:rPr>
                <w:i/>
              </w:rPr>
              <w:t>(Principal Executive Officer)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rPr>
                <w:sz w:val="4"/>
                <w:szCs w:val="4"/>
              </w:rPr>
            </w:pPr>
            <w:r>
              <w:rPr>
                <w:sz w:val="4"/>
                <w:szCs w:val="4"/>
              </w:rPr>
            </w:r>
          </w:p>
        </w:tc>
      </w:tr>
      <w:tr>
        <w:trPr>
          <w:trHeight w:val="240" w:hRule="atLeast"/>
        </w:trPr>
        <w:tc>
          <w:tcPr>
            <w:tcW w:w="3592"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359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DANIEL GEFFKEN</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pPr>
            <w:r>
              <w:rPr/>
              <w:t>Interim Chief Financial Officer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jc w:val="center"/>
              <w:rPr/>
            </w:pPr>
            <w:r>
              <w:rPr/>
              <w:t>April 4, 2023</w:t>
            </w:r>
          </w:p>
        </w:tc>
      </w:tr>
      <w:tr>
        <w:trPr/>
        <w:tc>
          <w:tcPr>
            <w:tcW w:w="3592" w:type="dxa"/>
            <w:tcBorders/>
            <w:shd w:fill="auto" w:val="clear"/>
          </w:tcPr>
          <w:p>
            <w:pPr>
              <w:pStyle w:val="TableContents"/>
              <w:spacing w:before="0" w:after="283"/>
              <w:jc w:val="center"/>
              <w:rPr/>
            </w:pPr>
            <w:r>
              <w:rPr/>
              <w:t>Daniel Geffken</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i/>
              </w:rPr>
            </w:pPr>
            <w:r>
              <w:rPr>
                <w:i/>
              </w:rPr>
              <w:t>(Principal Financial and Accounting Officer)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rPr>
                <w:sz w:val="4"/>
                <w:szCs w:val="4"/>
              </w:rPr>
            </w:pPr>
            <w:r>
              <w:rPr>
                <w:sz w:val="4"/>
                <w:szCs w:val="4"/>
              </w:rPr>
            </w:r>
          </w:p>
        </w:tc>
      </w:tr>
      <w:tr>
        <w:trPr>
          <w:trHeight w:val="240" w:hRule="atLeast"/>
        </w:trPr>
        <w:tc>
          <w:tcPr>
            <w:tcW w:w="3592"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359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ROBERT N. WILSON</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pPr>
            <w:r>
              <w:rPr/>
              <w:t>Chairman</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jc w:val="center"/>
              <w:rPr/>
            </w:pPr>
            <w:r>
              <w:rPr/>
              <w:t>April 4, 2023</w:t>
            </w:r>
          </w:p>
        </w:tc>
      </w:tr>
      <w:tr>
        <w:trPr/>
        <w:tc>
          <w:tcPr>
            <w:tcW w:w="3592" w:type="dxa"/>
            <w:tcBorders/>
            <w:shd w:fill="auto" w:val="clear"/>
          </w:tcPr>
          <w:p>
            <w:pPr>
              <w:pStyle w:val="TableContents"/>
              <w:spacing w:before="0" w:after="283"/>
              <w:jc w:val="center"/>
              <w:rPr/>
            </w:pPr>
            <w:r>
              <w:rPr/>
              <w:t>Robert N. Wilson</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rPr>
                <w:sz w:val="4"/>
                <w:szCs w:val="4"/>
              </w:rPr>
            </w:pPr>
            <w:r>
              <w:rPr>
                <w:sz w:val="4"/>
                <w:szCs w:val="4"/>
              </w:rPr>
            </w:r>
          </w:p>
        </w:tc>
      </w:tr>
      <w:tr>
        <w:trPr>
          <w:trHeight w:val="240" w:hRule="atLeast"/>
        </w:trPr>
        <w:tc>
          <w:tcPr>
            <w:tcW w:w="3592"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359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ERIC BJERKHOLT</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pPr>
            <w:r>
              <w:rPr/>
              <w:t>Director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jc w:val="center"/>
              <w:rPr/>
            </w:pPr>
            <w:r>
              <w:rPr/>
              <w:t>April 4, 2023</w:t>
            </w:r>
          </w:p>
        </w:tc>
      </w:tr>
      <w:tr>
        <w:trPr/>
        <w:tc>
          <w:tcPr>
            <w:tcW w:w="3592" w:type="dxa"/>
            <w:tcBorders/>
            <w:shd w:fill="auto" w:val="clear"/>
          </w:tcPr>
          <w:p>
            <w:pPr>
              <w:pStyle w:val="TableContents"/>
              <w:spacing w:before="0" w:after="283"/>
              <w:jc w:val="center"/>
              <w:rPr/>
            </w:pPr>
            <w:r>
              <w:rPr/>
              <w:t>Eric Bjerkholt</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rPr>
                <w:sz w:val="4"/>
                <w:szCs w:val="4"/>
              </w:rPr>
            </w:pPr>
            <w:r>
              <w:rPr>
                <w:sz w:val="4"/>
                <w:szCs w:val="4"/>
              </w:rPr>
            </w:r>
          </w:p>
        </w:tc>
      </w:tr>
      <w:tr>
        <w:trPr>
          <w:trHeight w:val="240" w:hRule="atLeast"/>
        </w:trPr>
        <w:tc>
          <w:tcPr>
            <w:tcW w:w="3592"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359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FREDERIC GUERARD, PHARM.D.</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pPr>
            <w:r>
              <w:rPr/>
              <w:t>Director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jc w:val="center"/>
              <w:rPr/>
            </w:pPr>
            <w:r>
              <w:rPr/>
              <w:t>April 4, 2023</w:t>
            </w:r>
          </w:p>
        </w:tc>
      </w:tr>
      <w:tr>
        <w:trPr/>
        <w:tc>
          <w:tcPr>
            <w:tcW w:w="3592" w:type="dxa"/>
            <w:tcBorders/>
            <w:shd w:fill="auto" w:val="clear"/>
          </w:tcPr>
          <w:p>
            <w:pPr>
              <w:pStyle w:val="TableContents"/>
              <w:spacing w:before="0" w:after="283"/>
              <w:jc w:val="center"/>
              <w:rPr/>
            </w:pPr>
            <w:r>
              <w:rPr/>
              <w:t>Frederic Guerard, Pharm.D.</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rPr>
                <w:sz w:val="4"/>
                <w:szCs w:val="4"/>
              </w:rPr>
            </w:pPr>
            <w:r>
              <w:rPr>
                <w:sz w:val="4"/>
                <w:szCs w:val="4"/>
              </w:rPr>
            </w:r>
          </w:p>
        </w:tc>
      </w:tr>
      <w:tr>
        <w:trPr>
          <w:trHeight w:val="240" w:hRule="atLeast"/>
        </w:trPr>
        <w:tc>
          <w:tcPr>
            <w:tcW w:w="3592"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359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FRED MIDDLETON</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pPr>
            <w:r>
              <w:rPr/>
              <w:t>Director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jc w:val="center"/>
              <w:rPr/>
            </w:pPr>
            <w:r>
              <w:rPr/>
              <w:t>April 4, 2023</w:t>
            </w:r>
          </w:p>
        </w:tc>
      </w:tr>
      <w:tr>
        <w:trPr/>
        <w:tc>
          <w:tcPr>
            <w:tcW w:w="3592" w:type="dxa"/>
            <w:tcBorders/>
            <w:shd w:fill="auto" w:val="clear"/>
          </w:tcPr>
          <w:p>
            <w:pPr>
              <w:pStyle w:val="TableContents"/>
              <w:spacing w:before="0" w:after="283"/>
              <w:jc w:val="center"/>
              <w:rPr/>
            </w:pPr>
            <w:r>
              <w:rPr/>
              <w:t>Fred Middleton</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rPr>
                <w:sz w:val="4"/>
                <w:szCs w:val="4"/>
              </w:rPr>
            </w:pPr>
            <w:r>
              <w:rPr>
                <w:sz w:val="4"/>
                <w:szCs w:val="4"/>
              </w:rPr>
            </w:r>
          </w:p>
        </w:tc>
      </w:tr>
      <w:tr>
        <w:trPr>
          <w:trHeight w:val="240" w:hRule="atLeast"/>
        </w:trPr>
        <w:tc>
          <w:tcPr>
            <w:tcW w:w="3592"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359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ERIC W. ROBERTS</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pPr>
            <w:r>
              <w:rPr/>
              <w:t>Director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jc w:val="center"/>
              <w:rPr/>
            </w:pPr>
            <w:r>
              <w:rPr/>
              <w:t>April 4, 2023</w:t>
            </w:r>
          </w:p>
        </w:tc>
      </w:tr>
      <w:tr>
        <w:trPr/>
        <w:tc>
          <w:tcPr>
            <w:tcW w:w="3592" w:type="dxa"/>
            <w:tcBorders/>
            <w:shd w:fill="auto" w:val="clear"/>
          </w:tcPr>
          <w:p>
            <w:pPr>
              <w:pStyle w:val="TableContents"/>
              <w:spacing w:before="0" w:after="283"/>
              <w:jc w:val="center"/>
              <w:rPr/>
            </w:pPr>
            <w:r>
              <w:rPr/>
              <w:t>Eric W. Roberts</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rPr>
                <w:sz w:val="4"/>
                <w:szCs w:val="4"/>
              </w:rPr>
            </w:pPr>
            <w:r>
              <w:rPr>
                <w:sz w:val="4"/>
                <w:szCs w:val="4"/>
              </w:rPr>
            </w:r>
          </w:p>
        </w:tc>
      </w:tr>
      <w:tr>
        <w:trPr>
          <w:trHeight w:val="240" w:hRule="atLeast"/>
        </w:trPr>
        <w:tc>
          <w:tcPr>
            <w:tcW w:w="3592"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359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ALLAN SHAW</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jc w:val="center"/>
              <w:rPr/>
            </w:pPr>
            <w:r>
              <w:rPr/>
              <w:t>Director</w:t>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jc w:val="center"/>
              <w:rPr/>
            </w:pPr>
            <w:r>
              <w:rPr/>
              <w:t>April 4, 2023</w:t>
            </w:r>
          </w:p>
        </w:tc>
      </w:tr>
      <w:tr>
        <w:trPr/>
        <w:tc>
          <w:tcPr>
            <w:tcW w:w="3592" w:type="dxa"/>
            <w:tcBorders/>
            <w:shd w:fill="auto" w:val="clear"/>
          </w:tcPr>
          <w:p>
            <w:pPr>
              <w:pStyle w:val="TableContents"/>
              <w:spacing w:before="0" w:after="283"/>
              <w:jc w:val="center"/>
              <w:rPr/>
            </w:pPr>
            <w:r>
              <w:rPr/>
              <w:t>Allan Shaw</w:t>
            </w:r>
          </w:p>
        </w:tc>
        <w:tc>
          <w:tcPr>
            <w:tcW w:w="120" w:type="dxa"/>
            <w:tcBorders/>
            <w:shd w:fill="auto" w:val="clear"/>
            <w:vAlign w:val="bottom"/>
          </w:tcPr>
          <w:p>
            <w:pPr>
              <w:pStyle w:val="TableContents"/>
              <w:spacing w:before="0" w:after="283"/>
              <w:rPr/>
            </w:pPr>
            <w:r>
              <w:rPr/>
              <w:t>  </w:t>
            </w:r>
          </w:p>
        </w:tc>
        <w:tc>
          <w:tcPr>
            <w:tcW w:w="32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80"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TextBody"/>
        <w:spacing w:before="0" w:after="0"/>
        <w:jc w:val="right"/>
        <w:rPr>
          <w:rFonts w:ascii="Times New Roman" w:hAnsi="Times New Roman"/>
          <w:b/>
          <w:sz w:val="20"/>
        </w:rPr>
      </w:pPr>
      <w:bookmarkStart w:id="16" w:name="d482049dex49.htm"/>
      <w:bookmarkStart w:id="17" w:name="ksd482049dex49"/>
      <w:bookmarkEnd w:id="16"/>
      <w:bookmarkEnd w:id="17"/>
      <w:r>
        <w:rPr>
          <w:rFonts w:ascii="Times New Roman" w:hAnsi="Times New Roman"/>
          <w:b/>
          <w:sz w:val="20"/>
        </w:rPr>
        <w:t xml:space="preserve">Exhibit 4.9 </w:t>
      </w:r>
    </w:p>
    <w:p>
      <w:pPr>
        <w:pStyle w:val="TextBody"/>
        <w:spacing w:before="240" w:after="0"/>
        <w:jc w:val="left"/>
        <w:rPr>
          <w:rFonts w:ascii="Times New Roman" w:hAnsi="Times New Roman"/>
          <w:sz w:val="20"/>
        </w:rPr>
      </w:pPr>
      <w:r>
        <w:rPr>
          <w:rFonts w:ascii="Times New Roman" w:hAnsi="Times New Roman"/>
          <w:b/>
          <w:sz w:val="20"/>
        </w:rPr>
        <w:t>THIS WARRANT AND THE UNDERLYING SECURITIES HAVE NOT BEEN REGISTERED UNDER THE SECURITIES ACT OF 1933, AS AMENDED (THE </w:t>
      </w:r>
      <w:r>
        <w:rPr>
          <w:rFonts w:ascii="Times New Roman" w:hAnsi="Times New Roman"/>
          <w:b/>
          <w:i/>
          <w:sz w:val="20"/>
        </w:rPr>
        <w:t>ACT</w:t>
      </w:r>
      <w:r>
        <w:rPr>
          <w:rFonts w:ascii="Times New Roman" w:hAnsi="Times New Roman"/>
          <w:b/>
          <w:sz w:val="20"/>
        </w:rPr>
        <w:t xml:space="preserve">). THEY MAY NOT BE SOLD, OFFERED FOR SALE, PLEDGED OR HYPOTHECATED IN THE ABSENCE OF AN EFFECTIVE REGISTRATION STATEMENT AS TO SUCH SECURITIES UNDER THE ACT OR AN OPINION OF COUNSEL SATISFACTORY TO THE COMPANY THAT SUCH REGISTRATION IS NOT REQUIRED. </w:t>
      </w:r>
    </w:p>
    <w:p>
      <w:pPr>
        <w:pStyle w:val="TextBody"/>
        <w:spacing w:before="480" w:after="0"/>
        <w:jc w:val="center"/>
        <w:rPr>
          <w:rFonts w:ascii="Times New Roman" w:hAnsi="Times New Roman"/>
          <w:b/>
          <w:sz w:val="20"/>
        </w:rPr>
      </w:pPr>
      <w:r>
        <w:rPr>
          <w:rFonts w:ascii="Times New Roman" w:hAnsi="Times New Roman"/>
          <w:b/>
          <w:sz w:val="20"/>
        </w:rPr>
        <w:t xml:space="preserve">CALCIMEDICA, INC. </w:t>
      </w:r>
    </w:p>
    <w:p>
      <w:pPr>
        <w:pStyle w:val="TextBody"/>
        <w:spacing w:before="240" w:after="0"/>
        <w:jc w:val="center"/>
        <w:rPr>
          <w:rFonts w:ascii="Times New Roman" w:hAnsi="Times New Roman"/>
          <w:b/>
          <w:sz w:val="20"/>
        </w:rPr>
      </w:pPr>
      <w:r>
        <w:rPr>
          <w:rFonts w:ascii="Times New Roman" w:hAnsi="Times New Roman"/>
          <w:b/>
          <w:sz w:val="20"/>
        </w:rPr>
        <w:t xml:space="preserve">WARRANT TO PURCHASE SERIES A PREFERRED STOCK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8"/>
        <w:gridCol w:w="124"/>
        <w:gridCol w:w="4923"/>
      </w:tblGrid>
      <w:tr>
        <w:trPr/>
        <w:tc>
          <w:tcPr>
            <w:tcW w:w="515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4923" w:type="dxa"/>
            <w:tcBorders/>
            <w:shd w:fill="auto" w:val="clear"/>
            <w:vAlign w:val="center"/>
          </w:tcPr>
          <w:p>
            <w:pPr>
              <w:pStyle w:val="TableContents"/>
              <w:spacing w:before="0" w:after="283"/>
              <w:rPr>
                <w:sz w:val="4"/>
                <w:szCs w:val="4"/>
              </w:rPr>
            </w:pPr>
            <w:r>
              <w:rPr>
                <w:sz w:val="4"/>
                <w:szCs w:val="4"/>
              </w:rPr>
            </w:r>
          </w:p>
        </w:tc>
      </w:tr>
      <w:tr>
        <w:trPr/>
        <w:tc>
          <w:tcPr>
            <w:tcW w:w="5158" w:type="dxa"/>
            <w:tcBorders/>
            <w:shd w:fill="auto" w:val="clear"/>
          </w:tcPr>
          <w:p>
            <w:pPr>
              <w:pStyle w:val="TableContents"/>
              <w:spacing w:before="0" w:after="283"/>
              <w:rPr/>
            </w:pPr>
            <w:r>
              <w:rPr/>
              <w:t>No. CS 2016-_____</w:t>
            </w:r>
          </w:p>
        </w:tc>
        <w:tc>
          <w:tcPr>
            <w:tcW w:w="124" w:type="dxa"/>
            <w:tcBorders/>
            <w:shd w:fill="auto" w:val="clear"/>
            <w:vAlign w:val="bottom"/>
          </w:tcPr>
          <w:p>
            <w:pPr>
              <w:pStyle w:val="TableContents"/>
              <w:spacing w:before="0" w:after="283"/>
              <w:rPr/>
            </w:pPr>
            <w:r>
              <w:rPr/>
              <w:t>  </w:t>
            </w:r>
          </w:p>
        </w:tc>
        <w:tc>
          <w:tcPr>
            <w:tcW w:w="4923" w:type="dxa"/>
            <w:tcBorders/>
            <w:shd w:fill="auto" w:val="clear"/>
          </w:tcPr>
          <w:p>
            <w:pPr>
              <w:pStyle w:val="TableContents"/>
              <w:spacing w:before="0" w:after="283"/>
              <w:jc w:val="right"/>
              <w:rPr/>
            </w:pPr>
            <w:r>
              <w:rPr/>
              <w:t>August 8, 2016</w:t>
            </w:r>
          </w:p>
        </w:tc>
      </w:tr>
    </w:tbl>
    <w:p>
      <w:pPr>
        <w:pStyle w:val="TextBody"/>
        <w:spacing w:before="240" w:after="0"/>
        <w:jc w:val="center"/>
        <w:rPr>
          <w:rFonts w:ascii="Times New Roman" w:hAnsi="Times New Roman"/>
          <w:b/>
          <w:sz w:val="20"/>
        </w:rPr>
      </w:pPr>
      <w:r>
        <w:rPr>
          <w:rFonts w:ascii="Times New Roman" w:hAnsi="Times New Roman"/>
          <w:b/>
          <w:sz w:val="20"/>
        </w:rPr>
        <w:t xml:space="preserve">Void After February 28, 2027 </w:t>
      </w:r>
    </w:p>
    <w:p>
      <w:pPr>
        <w:pStyle w:val="TextBody"/>
        <w:spacing w:before="240" w:after="0"/>
        <w:jc w:val="left"/>
        <w:rPr>
          <w:rFonts w:ascii="Times New Roman" w:hAnsi="Times New Roman"/>
          <w:sz w:val="20"/>
        </w:rPr>
      </w:pPr>
      <w:r>
        <w:rPr>
          <w:rFonts w:ascii="Times New Roman" w:hAnsi="Times New Roman"/>
          <w:sz w:val="20"/>
        </w:rPr>
        <w:t>THIS CERTIFIES THAT, for value received, ___________, with its principal office located at ______________________, Attn: _____________, or its assigns (the </w:t>
      </w:r>
      <w:r>
        <w:rPr>
          <w:rFonts w:ascii="Times New Roman" w:hAnsi="Times New Roman"/>
          <w:b/>
          <w:i/>
          <w:sz w:val="20"/>
        </w:rPr>
        <w:t>Holder</w:t>
      </w:r>
      <w:r>
        <w:rPr>
          <w:rFonts w:ascii="Times New Roman" w:hAnsi="Times New Roman"/>
          <w:sz w:val="20"/>
        </w:rPr>
        <w:t>), is entitled to subscribe for and purchase from CalciMedica, Inc., a Delaware corporation, with its principal office at 505 Coast Boulevard South, Suite 202, La Jolla, California 92037 (the </w:t>
      </w:r>
      <w:r>
        <w:rPr>
          <w:rFonts w:ascii="Times New Roman" w:hAnsi="Times New Roman"/>
          <w:b/>
          <w:i/>
          <w:sz w:val="20"/>
        </w:rPr>
        <w:t>Company</w:t>
      </w:r>
      <w:r>
        <w:rPr>
          <w:rFonts w:ascii="Times New Roman" w:hAnsi="Times New Roman"/>
          <w:sz w:val="20"/>
        </w:rPr>
        <w:t xml:space="preserve">), Exercise Shares (as defined below) at the Exercise Price (as defined below). </w:t>
      </w:r>
    </w:p>
    <w:p>
      <w:pPr>
        <w:pStyle w:val="TextBody"/>
        <w:spacing w:before="240" w:after="0"/>
        <w:jc w:val="left"/>
        <w:rPr>
          <w:rFonts w:ascii="Times New Roman" w:hAnsi="Times New Roman"/>
          <w:sz w:val="20"/>
        </w:rPr>
      </w:pPr>
      <w:r>
        <w:rPr>
          <w:rFonts w:ascii="Times New Roman" w:hAnsi="Times New Roman"/>
          <w:sz w:val="20"/>
        </w:rPr>
        <w:t>This Warrant is issued as part of a series of similar warrants pursuant to the terms of that certain Note and Warrant Purchase Agreement, dated as of August 8, 2016, by and among the Company, the Holder and the other persons and entities identified on Exhibit A thereto (the </w:t>
      </w:r>
      <w:r>
        <w:rPr>
          <w:rFonts w:ascii="Times New Roman" w:hAnsi="Times New Roman"/>
          <w:b/>
          <w:i/>
          <w:sz w:val="20"/>
        </w:rPr>
        <w:t>Purchase Agreement</w:t>
      </w:r>
      <w:r>
        <w:rPr>
          <w:rFonts w:ascii="Times New Roman" w:hAnsi="Times New Roman"/>
          <w:sz w:val="20"/>
        </w:rPr>
        <w:t>) pursuant to which the Company shall issue this Warrant and Convertible Promissory Notes (the </w:t>
      </w:r>
      <w:r>
        <w:rPr>
          <w:rFonts w:ascii="Times New Roman" w:hAnsi="Times New Roman"/>
          <w:b/>
          <w:i/>
          <w:sz w:val="20"/>
        </w:rPr>
        <w:t>Notes</w:t>
      </w:r>
      <w:r>
        <w:rPr>
          <w:rFonts w:ascii="Times New Roman" w:hAnsi="Times New Roman"/>
          <w:sz w:val="20"/>
        </w:rPr>
        <w:t xml:space="preserve">). Capitalized terms used but not defined herein shall have the meanings set forth in the Purchase Agreement. </w:t>
      </w:r>
    </w:p>
    <w:p>
      <w:pPr>
        <w:pStyle w:val="TextBody"/>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As used herein, the following terms shall have the following respective meanings: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Exercise Period</w:t>
      </w:r>
      <w:r>
        <w:rPr>
          <w:rFonts w:ascii="Times New Roman" w:hAnsi="Times New Roman"/>
          <w:sz w:val="20"/>
        </w:rPr>
        <w:t xml:space="preserve"> shall mean the period commencing on February 28, 2017 and ending February 28, 2027, unless sooner automatically exercised pursuant to Section 7 below. </w:t>
      </w:r>
    </w:p>
    <w:p>
      <w:pPr>
        <w:pStyle w:val="TextBody"/>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Exercise Price</w:t>
      </w:r>
      <w:r>
        <w:rPr>
          <w:rFonts w:ascii="Times New Roman" w:hAnsi="Times New Roman"/>
          <w:sz w:val="20"/>
        </w:rPr>
        <w:t xml:space="preserve"> shall mean $0.77. </w:t>
      </w:r>
    </w:p>
    <w:p>
      <w:pPr>
        <w:pStyle w:val="TextBody"/>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Exercise Shares</w:t>
      </w:r>
      <w:r>
        <w:rPr>
          <w:rFonts w:ascii="Times New Roman" w:hAnsi="Times New Roman"/>
          <w:sz w:val="20"/>
        </w:rPr>
        <w:t xml:space="preserve"> shall mean that number of shares of Series A Preferred Stock of the Company as is equal to the product of: (x) the Purchase Price multiplied by the Warrant Percentage and divided by (y) $0.77. </w:t>
      </w:r>
    </w:p>
    <w:p>
      <w:pPr>
        <w:pStyle w:val="TextBody"/>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Purchase Price</w:t>
      </w:r>
      <w:r>
        <w:rPr>
          <w:rFonts w:ascii="Times New Roman" w:hAnsi="Times New Roman"/>
          <w:sz w:val="20"/>
        </w:rPr>
        <w:t xml:space="preserve"> shall mean the aggregate principal face amounts of the Notes issued to Holder in the Closing pursuant to the Purchase Agreement. </w:t>
      </w:r>
    </w:p>
    <w:p>
      <w:pPr>
        <w:pStyle w:val="TextBody"/>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Series A Purchase Agreement</w:t>
      </w:r>
      <w:r>
        <w:rPr>
          <w:rFonts w:ascii="Times New Roman" w:hAnsi="Times New Roman"/>
          <w:sz w:val="20"/>
        </w:rPr>
        <w:t xml:space="preserve"> means that certain Series A Preferred Stock Purchase Agreement, dated April 11, 2014, by and among CalciMedica, Inc. and the Investors listed on Exhibit A thereto, as amended. </w:t>
      </w:r>
    </w:p>
    <w:p>
      <w:pPr>
        <w:pStyle w:val="TextBody"/>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Warrant Percentage</w:t>
      </w:r>
      <w:r>
        <w:rPr>
          <w:rFonts w:ascii="Times New Roman" w:hAnsi="Times New Roman"/>
          <w:sz w:val="20"/>
        </w:rPr>
        <w:t> shall be fifty percent (50%); provided however, that only if (i) Biogen MA Inc. (</w:t>
      </w:r>
      <w:r>
        <w:rPr>
          <w:rFonts w:ascii="Times New Roman" w:hAnsi="Times New Roman"/>
          <w:b/>
          <w:i/>
          <w:sz w:val="20"/>
        </w:rPr>
        <w:t>Biogen</w:t>
      </w:r>
      <w:r>
        <w:rPr>
          <w:rFonts w:ascii="Times New Roman" w:hAnsi="Times New Roman"/>
          <w:sz w:val="20"/>
        </w:rPr>
        <w:t>), or an affiliate of Biogen, (ii) S.R. One, Limited (</w:t>
      </w:r>
      <w:r>
        <w:rPr>
          <w:rFonts w:ascii="Times New Roman" w:hAnsi="Times New Roman"/>
          <w:b/>
          <w:i/>
          <w:sz w:val="20"/>
        </w:rPr>
        <w:t>S.R. One</w:t>
      </w:r>
      <w:r>
        <w:rPr>
          <w:rFonts w:ascii="Times New Roman" w:hAnsi="Times New Roman"/>
          <w:sz w:val="20"/>
        </w:rPr>
        <w:t>), or an affiliate of S.R. One, and (iii) Revelation-Sanderling LLC (</w:t>
      </w:r>
      <w:r>
        <w:rPr>
          <w:rFonts w:ascii="Times New Roman" w:hAnsi="Times New Roman"/>
          <w:b/>
          <w:i/>
          <w:sz w:val="20"/>
        </w:rPr>
        <w:t>Sanderling</w:t>
      </w:r>
      <w:r>
        <w:rPr>
          <w:rFonts w:ascii="Times New Roman" w:hAnsi="Times New Roman"/>
          <w:sz w:val="20"/>
        </w:rPr>
        <w:t>), or an affiliate of Sanderling, each purchases its shares, as listed on Exhibit A to the Series A Purchase Agreement, in the Fifth Tranche Closing (as defined in the Series A Purchase Agreement), pursuant to the terms and conditions of the Series A Purchase Agreement, then </w:t>
      </w:r>
      <w:r>
        <w:rPr>
          <w:rFonts w:ascii="Times New Roman" w:hAnsi="Times New Roman"/>
          <w:b/>
          <w:i/>
          <w:sz w:val="20"/>
        </w:rPr>
        <w:t>Warrant Percentage</w:t>
      </w:r>
      <w:r>
        <w:rPr>
          <w:rFonts w:ascii="Times New Roman" w:hAnsi="Times New Roman"/>
          <w:sz w:val="20"/>
        </w:rPr>
        <w:t xml:space="preserve"> shall be twenty-five percent (25%).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EXERCISE OF WARRANT</w:t>
      </w:r>
      <w:r>
        <w:rPr>
          <w:rFonts w:ascii="Times New Roman" w:hAnsi="Times New Roman"/>
          <w:sz w:val="20"/>
        </w:rPr>
        <w:t xml:space="preserve">. The rights represented by this Warrant may be exercised in whole or in part at any time during the Exercise Period, by delivery of the following to the Company at its address set forth above (or at such other address as it may designate by notice in writing to the Holder):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executed Notice of Exercise in the form attached hereto; </w:t>
      </w:r>
    </w:p>
    <w:p>
      <w:pPr>
        <w:pStyle w:val="TextBody"/>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Payment of the Exercise Price either (i) in cash or by check, or (ii) by cancellation of indebtedness; and </w:t>
      </w:r>
    </w:p>
    <w:p>
      <w:pPr>
        <w:pStyle w:val="TextBody"/>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This Warrant. </w:t>
      </w:r>
    </w:p>
    <w:p>
      <w:pPr>
        <w:pStyle w:val="TextBody"/>
        <w:spacing w:before="240" w:after="0"/>
        <w:jc w:val="left"/>
        <w:rPr>
          <w:rFonts w:ascii="Times New Roman" w:hAnsi="Times New Roman"/>
          <w:sz w:val="20"/>
        </w:rPr>
      </w:pPr>
      <w:r>
        <w:rPr>
          <w:rFonts w:ascii="Times New Roman" w:hAnsi="Times New Roman"/>
          <w:sz w:val="20"/>
        </w:rPr>
        <w:t xml:space="preserve">Upon the exercise of the rights represented by this Warrant, a certificate or certificates for the Exercise Shares so purchased, registered in the name of the Holder or persons affiliated with the Holder, if the Holder so designates, shall be issued and delivered to the Holder within a reasonable time after the rights represented by this Warrant shall have been so exercised. In the event that this Warrant is being exercised for less than all of the then-current number of Exercise Shares purchasable hereunder, the Company shall, concurrently with the issuance by the Company of the number of Exercise Shares for which this Warrant is then being exercised, issue a new Warrant exercisable for the remaining number of Exercise Shares purchasable hereunder. </w:t>
      </w:r>
    </w:p>
    <w:p>
      <w:pPr>
        <w:pStyle w:val="TextBody"/>
        <w:spacing w:before="240" w:after="0"/>
        <w:jc w:val="left"/>
        <w:rPr>
          <w:rFonts w:ascii="Times New Roman" w:hAnsi="Times New Roman"/>
          <w:sz w:val="20"/>
        </w:rPr>
      </w:pPr>
      <w:r>
        <w:rPr>
          <w:rFonts w:ascii="Times New Roman" w:hAnsi="Times New Roman"/>
          <w:sz w:val="20"/>
        </w:rPr>
        <w:t xml:space="preserve">The person in whose name any certificate or certificates for Exercise Shares are to be issued upon exercise of this Warrant shall be deemed to have become the holder of record of such shares on the date on which this Warrant was surrendered and payment of the Exercise Price was made, irrespective of the date of delivery of such certificate or certificates,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 </w:t>
      </w:r>
    </w:p>
    <w:p>
      <w:pPr>
        <w:pStyle w:val="TextBody"/>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Net Exercise</w:t>
      </w:r>
      <w:r>
        <w:rPr>
          <w:rFonts w:ascii="Times New Roman" w:hAnsi="Times New Roman"/>
          <w:sz w:val="20"/>
        </w:rPr>
        <w:t xml:space="preserve">. Notwithstanding any provisions herein to the contrary, if the fair market value of one Exercise Share is greater than the Exercise Price (at the date of calculation as set forth below), in lieu of exercising this Warrant by payment of cash, the Holder may elect to receive shares equal to the value (as determined below) of this Warrant (or the portion thereof being canceled) by surrender of this Warrant at the principal office of the Company together with the properly endorsed Notice of Exercise in which event the Company shall issue to the Holder a number of Exercise Shares computed using the following formula: </w:t>
      </w:r>
    </w:p>
    <w:p>
      <w:pPr>
        <w:pStyle w:val="TextBody"/>
        <w:spacing w:before="0" w:after="0"/>
        <w:jc w:val="left"/>
        <w:rPr/>
      </w:pPr>
      <w:r>
        <w:rPr/>
        <w:t> </w:t>
      </w:r>
    </w:p>
    <w:tbl>
      <w:tblPr>
        <w:tblW w:w="4100" w:type="pct"/>
        <w:jc w:val="right"/>
        <w:tblInd w:w="0" w:type="dxa"/>
        <w:tblCellMar>
          <w:top w:w="0" w:type="dxa"/>
          <w:left w:w="0" w:type="dxa"/>
          <w:bottom w:w="0" w:type="dxa"/>
          <w:right w:w="0" w:type="dxa"/>
        </w:tblCellMar>
      </w:tblPr>
      <w:tblGrid>
        <w:gridCol w:w="405"/>
        <w:gridCol w:w="104"/>
        <w:gridCol w:w="7859"/>
      </w:tblGrid>
      <w:tr>
        <w:trPr/>
        <w:tc>
          <w:tcPr>
            <w:tcW w:w="40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7859"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X =</w:t>
            </w:r>
          </w:p>
        </w:tc>
        <w:tc>
          <w:tcPr>
            <w:tcW w:w="104" w:type="dxa"/>
            <w:tcBorders/>
            <w:shd w:fill="auto" w:val="clear"/>
            <w:vAlign w:val="bottom"/>
          </w:tcPr>
          <w:p>
            <w:pPr>
              <w:pStyle w:val="TableContents"/>
              <w:spacing w:before="0" w:after="283"/>
              <w:rPr/>
            </w:pPr>
            <w:r>
              <w:rPr/>
              <w:t> </w:t>
            </w:r>
          </w:p>
        </w:tc>
        <w:tc>
          <w:tcPr>
            <w:tcW w:w="7859" w:type="dxa"/>
            <w:tcBorders/>
            <w:shd w:fill="auto" w:val="clear"/>
          </w:tcPr>
          <w:p>
            <w:pPr>
              <w:pStyle w:val="TableContents"/>
              <w:spacing w:before="0" w:after="283"/>
              <w:rPr>
                <w:u w:val="single"/>
              </w:rPr>
            </w:pPr>
            <w:r>
              <w:rPr>
                <w:u w:val="single"/>
              </w:rPr>
              <w:t>Y (A-B)</w:t>
            </w:r>
          </w:p>
        </w:tc>
      </w:tr>
      <w:tr>
        <w:trPr/>
        <w:tc>
          <w:tcPr>
            <w:tcW w:w="405"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7859" w:type="dxa"/>
            <w:tcBorders/>
            <w:shd w:fill="auto" w:val="clear"/>
          </w:tcPr>
          <w:p>
            <w:pPr>
              <w:pStyle w:val="TableContents"/>
              <w:spacing w:before="0" w:after="283"/>
              <w:rPr/>
            </w:pPr>
            <w:r>
              <w:rPr/>
              <w:t>A</w:t>
            </w:r>
          </w:p>
        </w:tc>
      </w:tr>
    </w:tbl>
    <w:p>
      <w:pPr>
        <w:pStyle w:val="TextBody"/>
        <w:spacing w:before="0" w:after="0"/>
        <w:jc w:val="left"/>
        <w:rPr/>
      </w:pPr>
      <w:r>
        <w:rPr/>
        <w:t> </w:t>
      </w:r>
    </w:p>
    <w:tbl>
      <w:tblPr>
        <w:tblW w:w="4800" w:type="pct"/>
        <w:jc w:val="right"/>
        <w:tblInd w:w="0" w:type="dxa"/>
        <w:tblCellMar>
          <w:top w:w="0" w:type="dxa"/>
          <w:left w:w="0" w:type="dxa"/>
          <w:bottom w:w="0" w:type="dxa"/>
          <w:right w:w="0" w:type="dxa"/>
        </w:tblCellMar>
      </w:tblPr>
      <w:tblGrid>
        <w:gridCol w:w="1600"/>
        <w:gridCol w:w="416"/>
        <w:gridCol w:w="3783"/>
        <w:gridCol w:w="284"/>
        <w:gridCol w:w="3713"/>
      </w:tblGrid>
      <w:tr>
        <w:trPr/>
        <w:tc>
          <w:tcPr>
            <w:tcW w:w="1600"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378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3713" w:type="dxa"/>
            <w:tcBorders/>
            <w:shd w:fill="auto" w:val="clear"/>
            <w:vAlign w:val="center"/>
          </w:tcPr>
          <w:p>
            <w:pPr>
              <w:pStyle w:val="TableContents"/>
              <w:spacing w:before="0" w:after="283"/>
              <w:rPr>
                <w:sz w:val="4"/>
                <w:szCs w:val="4"/>
              </w:rPr>
            </w:pPr>
            <w:r>
              <w:rPr>
                <w:sz w:val="4"/>
                <w:szCs w:val="4"/>
              </w:rPr>
            </w:r>
          </w:p>
        </w:tc>
      </w:tr>
      <w:tr>
        <w:trPr/>
        <w:tc>
          <w:tcPr>
            <w:tcW w:w="1600" w:type="dxa"/>
            <w:tcBorders/>
            <w:shd w:fill="auto" w:val="clear"/>
          </w:tcPr>
          <w:p>
            <w:pPr>
              <w:pStyle w:val="TableContents"/>
              <w:spacing w:before="0" w:after="283"/>
              <w:jc w:val="right"/>
              <w:rPr/>
            </w:pPr>
            <w:r>
              <w:rPr/>
              <w:t>Where X =</w:t>
            </w:r>
          </w:p>
        </w:tc>
        <w:tc>
          <w:tcPr>
            <w:tcW w:w="416" w:type="dxa"/>
            <w:tcBorders/>
            <w:shd w:fill="auto" w:val="clear"/>
            <w:vAlign w:val="bottom"/>
          </w:tcPr>
          <w:p>
            <w:pPr>
              <w:pStyle w:val="TableContents"/>
              <w:spacing w:before="0" w:after="283"/>
              <w:rPr/>
            </w:pPr>
            <w:r>
              <w:rPr/>
              <w:t>    </w:t>
            </w:r>
          </w:p>
        </w:tc>
        <w:tc>
          <w:tcPr>
            <w:tcW w:w="7780" w:type="dxa"/>
            <w:gridSpan w:val="3"/>
            <w:tcBorders/>
            <w:shd w:fill="auto" w:val="clear"/>
          </w:tcPr>
          <w:p>
            <w:pPr>
              <w:pStyle w:val="TableContents"/>
              <w:spacing w:before="0" w:after="283"/>
              <w:rPr/>
            </w:pPr>
            <w:r>
              <w:rPr/>
              <w:t>the number of Exercise Shares to be issued to the Holder</w:t>
            </w:r>
          </w:p>
        </w:tc>
      </w:tr>
      <w:tr>
        <w:trPr>
          <w:trHeight w:val="120" w:hRule="atLeast"/>
        </w:trPr>
        <w:tc>
          <w:tcPr>
            <w:tcW w:w="1600" w:type="dxa"/>
            <w:tcBorders/>
            <w:shd w:fill="auto" w:val="clear"/>
            <w:vAlign w:val="center"/>
          </w:tcPr>
          <w:p>
            <w:pPr>
              <w:pStyle w:val="TableContents"/>
              <w:spacing w:before="0" w:after="283"/>
              <w:rPr>
                <w:sz w:val="4"/>
                <w:szCs w:val="4"/>
              </w:rPr>
            </w:pPr>
            <w:r>
              <w:rPr>
                <w:sz w:val="4"/>
                <w:szCs w:val="4"/>
              </w:rPr>
            </w:r>
          </w:p>
        </w:tc>
        <w:tc>
          <w:tcPr>
            <w:tcW w:w="8196" w:type="dxa"/>
            <w:gridSpan w:val="4"/>
            <w:tcBorders/>
            <w:shd w:fill="auto" w:val="clear"/>
            <w:vAlign w:val="center"/>
          </w:tcPr>
          <w:p>
            <w:pPr>
              <w:pStyle w:val="TableContents"/>
              <w:spacing w:before="0" w:after="283"/>
              <w:rPr>
                <w:sz w:val="4"/>
                <w:szCs w:val="4"/>
              </w:rPr>
            </w:pPr>
            <w:r>
              <w:rPr>
                <w:sz w:val="4"/>
                <w:szCs w:val="4"/>
              </w:rPr>
            </w:r>
          </w:p>
        </w:tc>
      </w:tr>
      <w:tr>
        <w:trPr/>
        <w:tc>
          <w:tcPr>
            <w:tcW w:w="1600" w:type="dxa"/>
            <w:tcBorders/>
            <w:shd w:fill="auto" w:val="clear"/>
          </w:tcPr>
          <w:p>
            <w:pPr>
              <w:pStyle w:val="TableContents"/>
              <w:spacing w:before="0" w:after="283"/>
              <w:jc w:val="right"/>
              <w:rPr/>
            </w:pPr>
            <w:r>
              <w:rPr/>
              <w:t>Y =</w:t>
            </w:r>
          </w:p>
        </w:tc>
        <w:tc>
          <w:tcPr>
            <w:tcW w:w="416" w:type="dxa"/>
            <w:tcBorders/>
            <w:shd w:fill="auto" w:val="clear"/>
            <w:vAlign w:val="bottom"/>
          </w:tcPr>
          <w:p>
            <w:pPr>
              <w:pStyle w:val="TableContents"/>
              <w:spacing w:before="0" w:after="283"/>
              <w:rPr/>
            </w:pPr>
            <w:r>
              <w:rPr/>
              <w:t>    </w:t>
            </w:r>
          </w:p>
        </w:tc>
        <w:tc>
          <w:tcPr>
            <w:tcW w:w="7780" w:type="dxa"/>
            <w:gridSpan w:val="3"/>
            <w:tcBorders/>
            <w:shd w:fill="auto" w:val="clear"/>
          </w:tcPr>
          <w:p>
            <w:pPr>
              <w:pStyle w:val="TableContents"/>
              <w:spacing w:before="0" w:after="283"/>
              <w:rPr/>
            </w:pPr>
            <w:r>
              <w:rPr/>
              <w:t>the number of Exercise Shares purchasable under the Warrant or, if only a portion of the Warrant is being exercised, the portion of the Warrant being canceled (at the date of such calculation)</w:t>
            </w:r>
          </w:p>
        </w:tc>
      </w:tr>
      <w:tr>
        <w:trPr>
          <w:trHeight w:val="120" w:hRule="atLeast"/>
        </w:trPr>
        <w:tc>
          <w:tcPr>
            <w:tcW w:w="1600" w:type="dxa"/>
            <w:tcBorders/>
            <w:shd w:fill="auto" w:val="clear"/>
            <w:vAlign w:val="center"/>
          </w:tcPr>
          <w:p>
            <w:pPr>
              <w:pStyle w:val="TableContents"/>
              <w:spacing w:before="0" w:after="283"/>
              <w:rPr>
                <w:sz w:val="4"/>
                <w:szCs w:val="4"/>
              </w:rPr>
            </w:pPr>
            <w:r>
              <w:rPr>
                <w:sz w:val="4"/>
                <w:szCs w:val="4"/>
              </w:rPr>
            </w:r>
          </w:p>
        </w:tc>
        <w:tc>
          <w:tcPr>
            <w:tcW w:w="8196" w:type="dxa"/>
            <w:gridSpan w:val="4"/>
            <w:tcBorders/>
            <w:shd w:fill="auto" w:val="clear"/>
            <w:vAlign w:val="center"/>
          </w:tcPr>
          <w:p>
            <w:pPr>
              <w:pStyle w:val="TableContents"/>
              <w:spacing w:before="0" w:after="283"/>
              <w:rPr>
                <w:sz w:val="4"/>
                <w:szCs w:val="4"/>
              </w:rPr>
            </w:pPr>
            <w:r>
              <w:rPr>
                <w:sz w:val="4"/>
                <w:szCs w:val="4"/>
              </w:rPr>
            </w:r>
          </w:p>
        </w:tc>
      </w:tr>
      <w:tr>
        <w:trPr/>
        <w:tc>
          <w:tcPr>
            <w:tcW w:w="1600" w:type="dxa"/>
            <w:tcBorders/>
            <w:shd w:fill="auto" w:val="clear"/>
          </w:tcPr>
          <w:p>
            <w:pPr>
              <w:pStyle w:val="TableContents"/>
              <w:spacing w:before="0" w:after="283"/>
              <w:jc w:val="right"/>
              <w:rPr/>
            </w:pPr>
            <w:r>
              <w:rPr/>
              <w:t>A =</w:t>
            </w:r>
          </w:p>
        </w:tc>
        <w:tc>
          <w:tcPr>
            <w:tcW w:w="416" w:type="dxa"/>
            <w:tcBorders/>
            <w:shd w:fill="auto" w:val="clear"/>
            <w:vAlign w:val="bottom"/>
          </w:tcPr>
          <w:p>
            <w:pPr>
              <w:pStyle w:val="TableContents"/>
              <w:spacing w:before="0" w:after="283"/>
              <w:rPr/>
            </w:pPr>
            <w:r>
              <w:rPr/>
              <w:t>    </w:t>
            </w:r>
          </w:p>
        </w:tc>
        <w:tc>
          <w:tcPr>
            <w:tcW w:w="7780" w:type="dxa"/>
            <w:gridSpan w:val="3"/>
            <w:tcBorders/>
            <w:shd w:fill="auto" w:val="clear"/>
          </w:tcPr>
          <w:p>
            <w:pPr>
              <w:pStyle w:val="TableContents"/>
              <w:spacing w:before="0" w:after="283"/>
              <w:rPr/>
            </w:pPr>
            <w:r>
              <w:rPr/>
              <w:t>the fair market value of one Exercise Share (at the date of such calculation)</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4800" w:type="pct"/>
        <w:jc w:val="right"/>
        <w:tblInd w:w="0" w:type="dxa"/>
        <w:tblCellMar>
          <w:top w:w="0" w:type="dxa"/>
          <w:left w:w="0" w:type="dxa"/>
          <w:bottom w:w="0" w:type="dxa"/>
          <w:right w:w="0" w:type="dxa"/>
        </w:tblCellMar>
      </w:tblPr>
      <w:tblGrid>
        <w:gridCol w:w="1007"/>
        <w:gridCol w:w="443"/>
        <w:gridCol w:w="3908"/>
        <w:gridCol w:w="350"/>
        <w:gridCol w:w="4088"/>
      </w:tblGrid>
      <w:tr>
        <w:trPr/>
        <w:tc>
          <w:tcPr>
            <w:tcW w:w="100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390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4088" w:type="dxa"/>
            <w:tcBorders/>
            <w:shd w:fill="auto" w:val="clear"/>
            <w:vAlign w:val="center"/>
          </w:tcPr>
          <w:p>
            <w:pPr>
              <w:pStyle w:val="TableContents"/>
              <w:spacing w:before="0" w:after="283"/>
              <w:rPr>
                <w:sz w:val="4"/>
                <w:szCs w:val="4"/>
              </w:rPr>
            </w:pPr>
            <w:r>
              <w:rPr>
                <w:sz w:val="4"/>
                <w:szCs w:val="4"/>
              </w:rPr>
            </w:r>
          </w:p>
        </w:tc>
      </w:tr>
      <w:tr>
        <w:trPr/>
        <w:tc>
          <w:tcPr>
            <w:tcW w:w="1007" w:type="dxa"/>
            <w:tcBorders/>
            <w:shd w:fill="auto" w:val="clear"/>
          </w:tcPr>
          <w:p>
            <w:pPr>
              <w:pStyle w:val="TableContents"/>
              <w:spacing w:before="0" w:after="283"/>
              <w:jc w:val="right"/>
              <w:rPr/>
            </w:pPr>
            <w:r>
              <w:rPr/>
              <w:t>B =</w:t>
            </w:r>
          </w:p>
        </w:tc>
        <w:tc>
          <w:tcPr>
            <w:tcW w:w="443" w:type="dxa"/>
            <w:tcBorders/>
            <w:shd w:fill="auto" w:val="clear"/>
            <w:vAlign w:val="bottom"/>
          </w:tcPr>
          <w:p>
            <w:pPr>
              <w:pStyle w:val="TableContents"/>
              <w:spacing w:before="0" w:after="283"/>
              <w:rPr/>
            </w:pPr>
            <w:r>
              <w:rPr/>
              <w:t>    </w:t>
            </w:r>
          </w:p>
        </w:tc>
        <w:tc>
          <w:tcPr>
            <w:tcW w:w="8346" w:type="dxa"/>
            <w:gridSpan w:val="3"/>
            <w:tcBorders/>
            <w:shd w:fill="auto" w:val="clear"/>
          </w:tcPr>
          <w:p>
            <w:pPr>
              <w:pStyle w:val="TableContents"/>
              <w:spacing w:before="0" w:after="283"/>
              <w:rPr/>
            </w:pPr>
            <w:r>
              <w:rPr/>
              <w:t>Exercise Price (as adjusted to the date of such calculation)</w:t>
            </w:r>
          </w:p>
        </w:tc>
      </w:tr>
    </w:tbl>
    <w:p>
      <w:pPr>
        <w:pStyle w:val="TextBody"/>
        <w:spacing w:before="240" w:after="0"/>
        <w:jc w:val="left"/>
        <w:rPr>
          <w:rFonts w:ascii="Times New Roman" w:hAnsi="Times New Roman"/>
          <w:sz w:val="20"/>
        </w:rPr>
      </w:pPr>
      <w:r>
        <w:rPr>
          <w:rFonts w:ascii="Times New Roman" w:hAnsi="Times New Roman"/>
          <w:sz w:val="20"/>
        </w:rPr>
        <w:t xml:space="preserve">For purposes of the above calculation, the fair market value of one Exercise Share shall be determined by the Companys Board of Directors in good faith; provided, however, that in the event that this Warrant is exercised pursuant to this Section 2.1 in connection with the Companys initial public offering of its common stock, the fair market value per share shall be the product of (i) the per share offering price to the public of the Companys initial public offering, and (ii) the number of shares of common stock into which each Exercise Share is convertible at the time of such exercise. </w:t>
      </w:r>
    </w:p>
    <w:p>
      <w:pPr>
        <w:pStyle w:val="TextBody"/>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COVENANTS OF THE COMPANY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Covenants as to Exercise Shares</w:t>
      </w:r>
      <w:r>
        <w:rPr>
          <w:rFonts w:ascii="Times New Roman" w:hAnsi="Times New Roman"/>
          <w:sz w:val="20"/>
        </w:rPr>
        <w:t xml:space="preserve">. The Company covenants and agrees that all Exercise Shares that may be issued upon the exercise of the rights represented by this Warrant will, upon issuance, be validly issued and outstanding, fully paid and nonassessable, and free from all taxes, liens and charges with respect to the issuance thereof. The Company further covenants and agrees that the Company will at all times during the Exercise Period, have authorized and reserved, free from preemptive rights, a sufficient number of Exercise Shares to provide for the exercise of the rights represented by this Warrant. If at any time during the Exercise Period the number of authorized but unissued Exercise Shares shall not be sufficient to permit exercise of this Warrant, the Company will take such corporate action as may, in the opinion of its counsel, be necessary to increase its authorized but unissued Exercise Shares to such number of shares as shall be sufficient for such purposes. </w:t>
      </w:r>
    </w:p>
    <w:p>
      <w:pPr>
        <w:pStyle w:val="TextBody"/>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Notices of Record Date</w:t>
      </w:r>
      <w:r>
        <w:rPr>
          <w:rFonts w:ascii="Times New Roman" w:hAnsi="Times New Roman"/>
          <w:sz w:val="20"/>
        </w:rPr>
        <w:t xml:space="preserve">. In the event of any taking by the Company of a record of the holders of any class of securities for the purpose of determining the holders thereof who are entitled to receive any dividend (other than a cash dividend which is the same as cash dividends paid in previous quarters) or other distribution, the Company shall mail to the Holder, at least ten (10) days prior to the date specified herein, a notice specifying the date on which any such record is to be taken for the purpose of such dividend or distribution. </w:t>
      </w:r>
    </w:p>
    <w:p>
      <w:pPr>
        <w:pStyle w:val="TextBody"/>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REPRESENTATIONS OF HOLDER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rPr>
        <w:t>Acquisition of Warrant for Personal Account</w:t>
      </w:r>
      <w:r>
        <w:rPr>
          <w:rFonts w:ascii="Times New Roman" w:hAnsi="Times New Roman"/>
          <w:sz w:val="20"/>
        </w:rPr>
        <w:t xml:space="preserve">. The Holder represents and warrants that it is acquiring the Warrant and the Exercise Shares solely for its account for investment and not with a view to or for sale or distribution of said Warrant or Exercise Shares or any part thereof. The Holder also represents that the entire legal and beneficial interests of the Warrant and Exercise Shares the Holder is acquiring is being acquired for, and will be held for, its account only. </w:t>
      </w:r>
    </w:p>
    <w:p>
      <w:pPr>
        <w:pStyle w:val="TextBody"/>
        <w:spacing w:before="12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Corporate Information</w:t>
      </w:r>
      <w:r>
        <w:rPr>
          <w:rFonts w:ascii="Times New Roman" w:hAnsi="Times New Roman"/>
          <w:sz w:val="20"/>
        </w:rPr>
        <w:t xml:space="preserve">. The Holder has had the full and complete opportunity to discuss the Companys business, management and financial affairs with directors, officers and management of the Company and has had the full and complete opportunity to review the Companys operations and facilities. The Holder has also had the opportunity to ask questions of and receive answers from, the Company and its management regarding the terms and conditions herein. </w:t>
      </w:r>
    </w:p>
    <w:p>
      <w:pPr>
        <w:pStyle w:val="TextBody"/>
        <w:spacing w:before="12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Economic Risk and Protection of Interest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Holder has substantial experience in evaluating and investing in private placement transactions of securities in companies similar to the Company so that it is capable of evaluating the merits and risks of its investment in the Company and has the capacity to protect its own interests. The Holder must bear the economic risk of this investment indefinitely unless the Exercise Shares are registered pursuant to the Act, or an exemption from registration is available. The Holder understands that the Company has no present intention of registering the Exercise Shares. The Holder also understands that there is no assurance that any exemption from registration under the Act will be available and that, even if available, such exemption may not allow the Holder to transfer all or any portion of the Warrant or the Exercise Shares under the circumstances, in the amounts or at the times the Holder might propose.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Holder represents that by reason of its, or of its managements, business or financial experience, the Holder has the capacity to protect its own interests in connection with the transactions contemplated herein. Further, the Holder is aware of no publication of any advertisement in connection with the transactions contemplated herein. </w:t>
      </w:r>
    </w:p>
    <w:p>
      <w:pPr>
        <w:pStyle w:val="TextBody"/>
        <w:spacing w:before="240" w:after="0"/>
        <w:jc w:val="left"/>
        <w:rPr>
          <w:rFonts w:ascii="Times New Roman" w:hAnsi="Times New Roman"/>
          <w:b/>
          <w:sz w:val="20"/>
        </w:rPr>
      </w:pPr>
      <w:r>
        <w:rPr>
          <w:rFonts w:ascii="Times New Roman" w:hAnsi="Times New Roman"/>
          <w:b/>
          <w:sz w:val="20"/>
        </w:rPr>
        <w:t xml:space="preserve">4.4 U.S. Purchasers. </w:t>
      </w:r>
    </w:p>
    <w:p>
      <w:pPr>
        <w:pStyle w:val="TextBody"/>
        <w:spacing w:before="120" w:after="0"/>
        <w:jc w:val="left"/>
        <w:rPr>
          <w:rFonts w:ascii="Times New Roman" w:hAnsi="Times New Roman"/>
          <w:b/>
          <w:sz w:val="20"/>
        </w:rPr>
      </w:pPr>
      <w:r>
        <w:rPr>
          <w:rFonts w:ascii="Times New Roman" w:hAnsi="Times New Roman"/>
          <w:b/>
          <w:sz w:val="20"/>
        </w:rPr>
        <w:t xml:space="preserve">(a) Securities Are Not Registered. </w:t>
      </w:r>
    </w:p>
    <w:p>
      <w:pPr>
        <w:pStyle w:val="TextBody"/>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Holder understands that the Warrant and the Exercise Shares have not been registered under the Securities Act of 1933, as amended (the </w:t>
      </w:r>
      <w:r>
        <w:rPr>
          <w:rFonts w:ascii="Times New Roman" w:hAnsi="Times New Roman"/>
          <w:b/>
          <w:i/>
          <w:sz w:val="20"/>
        </w:rPr>
        <w:t>Act</w:t>
      </w:r>
      <w:r>
        <w:rPr>
          <w:rFonts w:ascii="Times New Roman" w:hAnsi="Times New Roman"/>
          <w:sz w:val="20"/>
        </w:rPr>
        <w:t xml:space="preserve">) on the basis that no distribution or public offering of the stock of the Company is to be effected. The Holder realizes that the basis for the exemption may not be present if, notwithstanding its representations, the Holder has a present intention of acquiring the securities for a fixed or determinable period in the future, selling (in connection with a distribution or otherwise), granting any participation in, or otherwise distributing the securities. The Holder has no such present intention. </w:t>
      </w:r>
    </w:p>
    <w:p>
      <w:pPr>
        <w:pStyle w:val="TextBody"/>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Holder recognizes that the Warrant and the Exercise Shares must be held indefinitely unless they are subsequently registered under the Act or an exemption from such registration is available. The Holder recognizes that the Company has no obligation to register the Warrant or the Exercise Shares of the Company, or to comply with any exemption from such registration. </w:t>
      </w:r>
    </w:p>
    <w:p>
      <w:pPr>
        <w:pStyle w:val="TextBody"/>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Holder is aware that neither the Warrant nor the Exercise Shares may be sold pursuant to Rule 144 adopted under the Act unless certain conditions are met, including, among other things, the existence of a public market for the shares, the availability of certain current public information about the Company, the resale following the required holding period under Rule 144 and the number of shares being sold during any three month period not exceeding specified limitations. Holder is aware that the conditions for resale set forth in Rule 144 have not been satisfied and that the Company presently has no plans to satisfy these conditions in the foreseeable future. </w:t>
      </w:r>
    </w:p>
    <w:p>
      <w:pPr>
        <w:pStyle w:val="TextBody"/>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Holder is aware that the sale, transfer, assignment or hypothecation of this Warrant may be subject to the terms of a Right of First Refusal and Co-Sale Agreement by and between the Company, the Lender, and certain other stockholders of the company. </w:t>
      </w:r>
    </w:p>
    <w:p>
      <w:pPr>
        <w:pStyle w:val="TextBody"/>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Accredited Investor.</w:t>
      </w:r>
      <w:r>
        <w:rPr>
          <w:rFonts w:ascii="Times New Roman" w:hAnsi="Times New Roman"/>
          <w:sz w:val="20"/>
        </w:rPr>
        <w:t xml:space="preserve"> The Holder represents that it is an </w:t>
      </w:r>
      <w:r>
        <w:rPr>
          <w:rFonts w:ascii="Times New Roman" w:hAnsi="Times New Roman"/>
          <w:b/>
          <w:i/>
          <w:sz w:val="20"/>
        </w:rPr>
        <w:t>accredited</w:t>
      </w:r>
      <w:r>
        <w:rPr>
          <w:rFonts w:ascii="Times New Roman" w:hAnsi="Times New Roman"/>
          <w:sz w:val="20"/>
        </w:rPr>
        <w:t xml:space="preserve"> </w:t>
      </w:r>
      <w:r>
        <w:rPr>
          <w:rFonts w:ascii="Times New Roman" w:hAnsi="Times New Roman"/>
          <w:b/>
          <w:i/>
          <w:sz w:val="20"/>
        </w:rPr>
        <w:t>investor</w:t>
      </w:r>
      <w:r>
        <w:rPr>
          <w:rFonts w:ascii="Times New Roman" w:hAnsi="Times New Roman"/>
          <w:sz w:val="20"/>
        </w:rPr>
        <w:t xml:space="preserve"> within the meaning of Regulation D under the Act. </w:t>
      </w:r>
    </w:p>
    <w:p>
      <w:pPr>
        <w:pStyle w:val="TextBody"/>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No Bad Actor Disqualification Events.</w:t>
      </w:r>
      <w:r>
        <w:rPr>
          <w:rFonts w:ascii="Times New Roman" w:hAnsi="Times New Roman"/>
          <w:sz w:val="20"/>
        </w:rPr>
        <w:t xml:space="preserve"> Neither (i) the Holder, (ii) any of its directors, executive officers, other officers that may serve as a director or officer of any company in which it invests, general partners or managing members, nor (iii) any beneficial owner of any of the Companys voting equity securities (in accordance with Rule 506(d) of the Securities Act of 1933, as amended) held by Holder is subject to any Disqualification Event (as defined in Rule 506(d)(1)(i) through (viii) under the Securities Act of 1933, as amended), except for Disqualification Events covered by Rule 506(d)(2)(ii) or (iii) or (d)(3) under the Securities Act of 1933, as amended, and disclosed in writing in reasonable detail to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w:t>
      </w:r>
      <w:r>
        <w:rPr>
          <w:rFonts w:ascii="Times New Roman" w:hAnsi="Times New Roman"/>
          <w:b/>
          <w:sz w:val="20"/>
        </w:rPr>
        <w:t>Residence</w:t>
      </w:r>
      <w:r>
        <w:rPr>
          <w:rFonts w:ascii="Times New Roman" w:hAnsi="Times New Roman"/>
          <w:sz w:val="20"/>
        </w:rPr>
        <w:t xml:space="preserve">. If the Holder is an individual, then the Holder resides in the state or province identified in the address of the Holder set forth below; if the Holder is a partnership, corporation, limited liability Company or other entity, then the office or offices of the Holder in which its investment decision was made is located at the address or addresses of the Holder set forth herein. </w:t>
      </w:r>
    </w:p>
    <w:p>
      <w:pPr>
        <w:pStyle w:val="TextBody"/>
        <w:spacing w:before="12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rPr>
        <w:t>Disposition of Warrant and Exercise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Holder further agrees not to make any disposition of all or any part of the Warrant or Exercise Shares in any event unless and until: </w:t>
      </w:r>
    </w:p>
    <w:p>
      <w:pPr>
        <w:pStyle w:val="TextBody"/>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Company shall have received a letter secured by the Holder from the Securities and Exchange Commission stating that no action will be recommended to the Commission with respect to the proposed disposition; </w:t>
      </w:r>
    </w:p>
    <w:p>
      <w:pPr>
        <w:pStyle w:val="TextBody"/>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then in effect a registration statement under the Act covering such proposed disposition and such disposition is made in accordance with said registration statement; or </w:t>
      </w:r>
    </w:p>
    <w:p>
      <w:pPr>
        <w:pStyle w:val="TextBody"/>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for the Holder to the effect that such disposition will not require registration of such Warrant or Exercise Shares under the Act or any applicable state securities laws. </w:t>
      </w:r>
    </w:p>
    <w:p>
      <w:pPr>
        <w:pStyle w:val="TextBody"/>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Holder understands and agrees that all certificates evidencing the shares to be issued to the Holder may bear the following legends: </w:t>
      </w:r>
    </w:p>
    <w:p>
      <w:pPr>
        <w:pStyle w:val="TextBody"/>
        <w:spacing w:before="120" w:after="0"/>
        <w:jc w:val="left"/>
        <w:rPr>
          <w:rFonts w:ascii="Times New Roman" w:hAnsi="Times New Roman"/>
          <w:sz w:val="20"/>
        </w:rPr>
      </w:pPr>
      <w:r>
        <w:rPr>
          <w:rFonts w:ascii="Times New Roman" w:hAnsi="Times New Roman"/>
          <w:sz w:val="20"/>
        </w:rPr>
        <w:t>THESE SECURITIES HAVE NOT BEEN REGISTERED UNDER THE SECURITIES ACT OF 1933, AS AMENDED (THE </w:t>
      </w:r>
      <w:r>
        <w:rPr>
          <w:rFonts w:ascii="Times New Roman" w:hAnsi="Times New Roman"/>
          <w:b/>
          <w:i/>
          <w:sz w:val="20"/>
        </w:rPr>
        <w:t>ACT</w:t>
      </w:r>
      <w:r>
        <w:rPr>
          <w:rFonts w:ascii="Times New Roman" w:hAnsi="Times New Roman"/>
          <w:sz w:val="20"/>
        </w:rPr>
        <w:t xml:space="preserve">). THEY MAY NOT BE SOLD, OFFERED FOR SALE, PLEDGED OR HYPOTHECATED IN THE ABSENCE OF AN EFFECTIVE REGISTRATION STATEMENT AS TO THE SECURITIES UNDER THE ACT OR AN OPINION OF COUNSEL SATISFACTORY TO THE COMPANY THAT SUCH REGISTRATION IS NOT REQUIRED. </w:t>
      </w:r>
    </w:p>
    <w:p>
      <w:pPr>
        <w:pStyle w:val="TextBody"/>
        <w:spacing w:before="120" w:after="0"/>
        <w:jc w:val="left"/>
        <w:rPr>
          <w:rFonts w:ascii="Times New Roman" w:hAnsi="Times New Roman"/>
          <w:sz w:val="20"/>
        </w:rPr>
      </w:pPr>
      <w:r>
        <w:rPr>
          <w:rFonts w:ascii="Times New Roman" w:hAnsi="Times New Roman"/>
          <w:sz w:val="20"/>
        </w:rPr>
        <w:t xml:space="preserve">THE SHARES REPRESENTED BY THIS CERTIFICATE ARE SUBJECT TO RESTRICTIONS ON TRANSFERABILITY AND RESALE, INCLUDING A LOCK-UP PERIOD IN THE EVENT OF A PUBLIC OFFERING, AS SET FORTH IN THE WARRANT PURSUANT TO WHICH THESE SHARES WERE ISSUED, A COPY OF WHICH MAY BE OBTAINED AT THE PRINCIPAL OFFICE OF THE COMPANY </w:t>
      </w:r>
    </w:p>
    <w:p>
      <w:pPr>
        <w:pStyle w:val="TextBody"/>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ADJUSTMENT OF EXERCISE PRICE AND NUMBER OF EXERCISE SHARES</w:t>
      </w:r>
      <w:r>
        <w:rPr>
          <w:rFonts w:ascii="Times New Roman" w:hAnsi="Times New Roman"/>
          <w:sz w:val="20"/>
        </w:rPr>
        <w:t xml:space="preserve">. In the event of changes in the outstanding Exercise Shares of the Company by reason of stock dividends, splits, recapitalizations, reclassifications, combinations or exchanges of shares, separations, reorganizations, liquidations, or the like, the number and class of Exercise Shares available under the Warrant in the aggregate and the Exercise Price shall be correspondingly adjusted to give the Holder of the Warrant, on exercise for the same aggregate Exercise Price, the total number, class, and kind of shares as the Holder would have owned had the Warrant been exercised prior to the event and had the Holder continued to hold such shares until after the event requiring adjustment. The form of this Warrant need not be changed because of any adjustment in the number of Exercise Shares subject to this Warrant.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FRACTIONAL SHARES</w:t>
      </w:r>
      <w:r>
        <w:rPr>
          <w:rFonts w:ascii="Times New Roman" w:hAnsi="Times New Roman"/>
          <w:sz w:val="20"/>
        </w:rPr>
        <w:t xml:space="preserve">. No fractional shares shall be issued upon the exercise of this Warrant as a consequence of any adjustment pursuant hereto. All Exercise Shares (including fractions) issuable upon exercise of this Warrant may be aggregated for purposes of determining whether the exercise would result in the issuance of any fractional share. If, after aggregation, the exercise would result in the issuance of a fractional share, the Company shall, in lieu of issuance of any fractional share, pay the Holder otherwise entitled to such fraction a sum in cash equal to the product resulting from multiplying the then current fair market value of an Exercise Share by such fraction. </w:t>
      </w:r>
    </w:p>
    <w:p>
      <w:pPr>
        <w:pStyle w:val="TextBody"/>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EARLY EXERCISE</w:t>
      </w:r>
      <w:r>
        <w:rPr>
          <w:rFonts w:ascii="Times New Roman" w:hAnsi="Times New Roman"/>
          <w:sz w:val="20"/>
        </w:rPr>
        <w:t>. In the event of, at any time during the Exercise Period, an initial public offering of securities of the Company registered under the Act (an </w:t>
      </w:r>
      <w:r>
        <w:rPr>
          <w:rFonts w:ascii="Times New Roman" w:hAnsi="Times New Roman"/>
          <w:b/>
          <w:i/>
          <w:sz w:val="20"/>
        </w:rPr>
        <w:t>IPO</w:t>
      </w:r>
      <w:r>
        <w:rPr>
          <w:rFonts w:ascii="Times New Roman" w:hAnsi="Times New Roman"/>
          <w:sz w:val="20"/>
        </w:rPr>
        <w:t xml:space="preserve">) or an Acquisition (as such term is defined the Amended and Restated Certificate of Incorporation of the Company (as currently in effect and as may be amended from time to time)), the Company shall provide to the Holder twenty (20) days advance written notice of such IPO or Acquisition, and this Warrant shall be deemed exercised pursuant to Section 2.1 immediately prior to the date such IPO or Acquisition is closed. </w:t>
      </w:r>
    </w:p>
    <w:p>
      <w:pPr>
        <w:pStyle w:val="TextBody"/>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TRANSFER OF WARRANT</w:t>
      </w:r>
      <w:r>
        <w:rPr>
          <w:rFonts w:ascii="Times New Roman" w:hAnsi="Times New Roman"/>
          <w:sz w:val="20"/>
        </w:rPr>
        <w:t xml:space="preserve">. Upon the written consent of the Company, and subject to applicable laws and the restriction on transfer set forth on the first page of this Warrant, this Warrant and all rights hereunder are transferable, by the Holder in person or by duly authorized attorney, upon delivery of this Warrant and the form of assignment attached hereto to any transferee designated by Holder. The transferee shall sign an investment letter in form and substance satisfactory to the Company. </w:t>
      </w:r>
    </w:p>
    <w:p>
      <w:pPr>
        <w:pStyle w:val="TextBody"/>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NO STOCKHOLDER RIGHTS</w:t>
      </w:r>
      <w:r>
        <w:rPr>
          <w:rFonts w:ascii="Times New Roman" w:hAnsi="Times New Roman"/>
          <w:sz w:val="20"/>
        </w:rPr>
        <w:t xml:space="preserve">. This Warrant in and of itself shall not entitle the Holder to any voting rights or other rights as a stockholder of the Company. </w:t>
      </w:r>
    </w:p>
    <w:p>
      <w:pPr>
        <w:pStyle w:val="TextBody"/>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LOST, STOLEN, MUTILATED OR DESTROYED WARRANT</w:t>
      </w:r>
      <w:r>
        <w:rPr>
          <w:rFonts w:ascii="Times New Roman" w:hAnsi="Times New Roman"/>
          <w:sz w:val="20"/>
        </w:rPr>
        <w:t xml:space="preserve">. If this Warrant is lost, stolen, mutilated or destroyed, the Company may, on such terms as to indemnity or otherwise as it may reasonably impose (which shall, in the case of a mutilated Warrant, include the surrender thereof), issue a new Warrant of like denomination and tenor as the Warrant so lost, stolen, mutilated or destroyed. Any such new Warrant shall constitute an original contractual obligation of the Company, whether or not the allegedly lost, stolen, mutilated or destroyed Warrant shall be at any time enforceable by anyone. </w:t>
      </w:r>
    </w:p>
    <w:p>
      <w:pPr>
        <w:pStyle w:val="TextBody"/>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NOTICES, ETC</w:t>
      </w:r>
      <w:r>
        <w:rPr>
          <w:rFonts w:ascii="Times New Roman" w:hAnsi="Times New Roman"/>
          <w:sz w:val="20"/>
        </w:rPr>
        <w:t xml:space="preserve">. All notices required or permitted hereunder shall be in writing and shall be deemed effectively given: (a) upon personal delivery to the party to be notified, (b) when sent by confirmed telex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the address listed on the signature page and to Holder at the address listed on the signature page, or at such other address as the Company or Holder may designate by ten (10) days advance written notice to the other parties hereto. </w:t>
      </w:r>
    </w:p>
    <w:p>
      <w:pPr>
        <w:pStyle w:val="TextBody"/>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Warrant and all rights, obligations and liabilities hereunder shall be governed by and construed under the laws of the State of Delaware in all respects as such laws are applied to agreements among Delaware residents entered into and performed entirely within Delaware. THE COMPANY AND THE HOLDER HEREBY WAIVE THEIR RIGHT TO A TRIAL BY JURY WITH RESPECT TO DISPUTES ARISING UNDER THIS WARRANT AND CONSENT TO A BENCH TRIAL WITH THE APPROPRIATE JUDGE ACTING AS THE FINDER OF FACT.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AMENDMENT AND WAIVER</w:t>
      </w:r>
      <w:r>
        <w:rPr>
          <w:rFonts w:ascii="Times New Roman" w:hAnsi="Times New Roman"/>
          <w:sz w:val="20"/>
        </w:rPr>
        <w:t xml:space="preserve">. Any term of this Warrant may be amended or waived with the written consent of the Company and the holders of a majority of the Exercise Shares represented by all the then-outstanding Warrants that were issued pursuant to the Purchase Agreement (as defined in the Purchase Agreement). </w:t>
      </w:r>
    </w:p>
    <w:p>
      <w:pPr>
        <w:pStyle w:val="TextBody"/>
        <w:spacing w:before="24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duly authorized officer as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883"/>
        <w:gridCol w:w="60"/>
        <w:gridCol w:w="3139"/>
      </w:tblGrid>
      <w:tr>
        <w:trPr/>
        <w:tc>
          <w:tcPr>
            <w:tcW w:w="8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CALCIMEDICA, INC.</w:t>
            </w:r>
          </w:p>
        </w:tc>
      </w:tr>
      <w:tr>
        <w:trPr/>
        <w:tc>
          <w:tcPr>
            <w:tcW w:w="4082" w:type="dxa"/>
            <w:gridSpan w:val="3"/>
            <w:tcBorders/>
            <w:shd w:fill="auto" w:val="clear"/>
          </w:tcPr>
          <w:p>
            <w:pPr>
              <w:pStyle w:val="TableContents"/>
              <w:spacing w:before="0" w:after="283"/>
              <w:rPr/>
            </w:pPr>
            <w:r>
              <w:rPr/>
              <w:t>a Delaware corporation</w:t>
            </w:r>
          </w:p>
        </w:tc>
      </w:tr>
      <w:tr>
        <w:trPr>
          <w:trHeight w:val="120" w:hRule="atLeast"/>
        </w:trPr>
        <w:tc>
          <w:tcPr>
            <w:tcW w:w="883" w:type="dxa"/>
            <w:tcBorders/>
            <w:shd w:fill="auto" w:val="clear"/>
            <w:vAlign w:val="center"/>
          </w:tcPr>
          <w:p>
            <w:pPr>
              <w:pStyle w:val="TableContents"/>
              <w:spacing w:before="0" w:after="283"/>
              <w:rPr>
                <w:sz w:val="4"/>
                <w:szCs w:val="4"/>
              </w:rPr>
            </w:pPr>
            <w:r>
              <w:rPr>
                <w:sz w:val="4"/>
                <w:szCs w:val="4"/>
              </w:rPr>
            </w:r>
          </w:p>
        </w:tc>
        <w:tc>
          <w:tcPr>
            <w:tcW w:w="3199" w:type="dxa"/>
            <w:gridSpan w:val="2"/>
            <w:tcBorders/>
            <w:shd w:fill="auto" w:val="clear"/>
            <w:vAlign w:val="center"/>
          </w:tcPr>
          <w:p>
            <w:pPr>
              <w:pStyle w:val="TableContents"/>
              <w:spacing w:before="0" w:after="283"/>
              <w:rPr>
                <w:sz w:val="4"/>
                <w:szCs w:val="4"/>
              </w:rPr>
            </w:pPr>
            <w:r>
              <w:rPr>
                <w:sz w:val="4"/>
                <w:szCs w:val="4"/>
              </w:rPr>
            </w:r>
          </w:p>
        </w:tc>
      </w:tr>
      <w:tr>
        <w:trPr/>
        <w:tc>
          <w:tcPr>
            <w:tcW w:w="883"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139" w:type="dxa"/>
            <w:tcBorders/>
            <w:shd w:fill="auto" w:val="clear"/>
          </w:tcPr>
          <w:p>
            <w:pPr>
              <w:pStyle w:val="TableContents"/>
              <w:pBdr>
                <w:bottom w:val="single" w:sz="2" w:space="1" w:color="000000"/>
              </w:pBdr>
              <w:spacing w:before="0" w:after="20"/>
              <w:rPr/>
            </w:pPr>
            <w:r>
              <w:rPr/>
              <w:t>                              </w:t>
            </w:r>
          </w:p>
        </w:tc>
      </w:tr>
      <w:tr>
        <w:trPr>
          <w:trHeight w:val="120" w:hRule="atLeast"/>
        </w:trPr>
        <w:tc>
          <w:tcPr>
            <w:tcW w:w="883" w:type="dxa"/>
            <w:tcBorders/>
            <w:shd w:fill="auto" w:val="clear"/>
            <w:vAlign w:val="center"/>
          </w:tcPr>
          <w:p>
            <w:pPr>
              <w:pStyle w:val="TableContents"/>
              <w:spacing w:before="0" w:after="283"/>
              <w:rPr>
                <w:sz w:val="4"/>
                <w:szCs w:val="4"/>
              </w:rPr>
            </w:pPr>
            <w:r>
              <w:rPr>
                <w:sz w:val="4"/>
                <w:szCs w:val="4"/>
              </w:rPr>
            </w:r>
          </w:p>
        </w:tc>
        <w:tc>
          <w:tcPr>
            <w:tcW w:w="3199" w:type="dxa"/>
            <w:gridSpan w:val="2"/>
            <w:tcBorders/>
            <w:shd w:fill="auto" w:val="clear"/>
            <w:vAlign w:val="center"/>
          </w:tcPr>
          <w:p>
            <w:pPr>
              <w:pStyle w:val="TableContents"/>
              <w:spacing w:before="0" w:after="283"/>
              <w:rPr>
                <w:sz w:val="4"/>
                <w:szCs w:val="4"/>
              </w:rPr>
            </w:pPr>
            <w:r>
              <w:rPr>
                <w:sz w:val="4"/>
                <w:szCs w:val="4"/>
              </w:rPr>
            </w:r>
          </w:p>
        </w:tc>
      </w:tr>
      <w:tr>
        <w:trPr/>
        <w:tc>
          <w:tcPr>
            <w:tcW w:w="883"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139" w:type="dxa"/>
            <w:tcBorders/>
            <w:shd w:fill="auto" w:val="clear"/>
          </w:tcPr>
          <w:p>
            <w:pPr>
              <w:pStyle w:val="TableContents"/>
              <w:pBdr>
                <w:bottom w:val="single" w:sz="2" w:space="1" w:color="000000"/>
              </w:pBdr>
              <w:spacing w:before="0" w:after="20"/>
              <w:rPr/>
            </w:pPr>
            <w:r>
              <w:rPr/>
              <w:t>             </w:t>
            </w:r>
          </w:p>
        </w:tc>
      </w:tr>
      <w:tr>
        <w:trPr>
          <w:trHeight w:val="120" w:hRule="atLeast"/>
        </w:trPr>
        <w:tc>
          <w:tcPr>
            <w:tcW w:w="883" w:type="dxa"/>
            <w:tcBorders/>
            <w:shd w:fill="auto" w:val="clear"/>
            <w:vAlign w:val="center"/>
          </w:tcPr>
          <w:p>
            <w:pPr>
              <w:pStyle w:val="TableContents"/>
              <w:spacing w:before="0" w:after="283"/>
              <w:rPr>
                <w:sz w:val="4"/>
                <w:szCs w:val="4"/>
              </w:rPr>
            </w:pPr>
            <w:r>
              <w:rPr>
                <w:sz w:val="4"/>
                <w:szCs w:val="4"/>
              </w:rPr>
            </w:r>
          </w:p>
        </w:tc>
        <w:tc>
          <w:tcPr>
            <w:tcW w:w="3199" w:type="dxa"/>
            <w:gridSpan w:val="2"/>
            <w:tcBorders/>
            <w:shd w:fill="auto" w:val="clear"/>
            <w:vAlign w:val="center"/>
          </w:tcPr>
          <w:p>
            <w:pPr>
              <w:pStyle w:val="TableContents"/>
              <w:spacing w:before="0" w:after="283"/>
              <w:rPr>
                <w:sz w:val="4"/>
                <w:szCs w:val="4"/>
              </w:rPr>
            </w:pPr>
            <w:r>
              <w:rPr>
                <w:sz w:val="4"/>
                <w:szCs w:val="4"/>
              </w:rPr>
            </w:r>
          </w:p>
        </w:tc>
      </w:tr>
      <w:tr>
        <w:trPr/>
        <w:tc>
          <w:tcPr>
            <w:tcW w:w="883"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139" w:type="dxa"/>
            <w:tcBorders/>
            <w:shd w:fill="auto" w:val="clear"/>
          </w:tcPr>
          <w:p>
            <w:pPr>
              <w:pStyle w:val="TableContents"/>
              <w:pBdr>
                <w:bottom w:val="single" w:sz="2" w:space="1" w:color="000000"/>
              </w:pBdr>
              <w:spacing w:before="0" w:after="20"/>
              <w:rPr/>
            </w:pPr>
            <w:r>
              <w:rPr/>
              <w:t>             </w:t>
            </w:r>
          </w:p>
        </w:tc>
      </w:tr>
      <w:tr>
        <w:trPr>
          <w:trHeight w:val="120" w:hRule="atLeast"/>
        </w:trPr>
        <w:tc>
          <w:tcPr>
            <w:tcW w:w="883" w:type="dxa"/>
            <w:tcBorders/>
            <w:shd w:fill="auto" w:val="clear"/>
            <w:vAlign w:val="center"/>
          </w:tcPr>
          <w:p>
            <w:pPr>
              <w:pStyle w:val="TableContents"/>
              <w:spacing w:before="0" w:after="283"/>
              <w:rPr>
                <w:sz w:val="4"/>
                <w:szCs w:val="4"/>
              </w:rPr>
            </w:pPr>
            <w:r>
              <w:rPr>
                <w:sz w:val="4"/>
                <w:szCs w:val="4"/>
              </w:rPr>
            </w:r>
          </w:p>
        </w:tc>
        <w:tc>
          <w:tcPr>
            <w:tcW w:w="3199" w:type="dxa"/>
            <w:gridSpan w:val="2"/>
            <w:tcBorders/>
            <w:shd w:fill="auto" w:val="clear"/>
            <w:vAlign w:val="center"/>
          </w:tcPr>
          <w:p>
            <w:pPr>
              <w:pStyle w:val="TableContents"/>
              <w:spacing w:before="0" w:after="283"/>
              <w:rPr>
                <w:sz w:val="4"/>
                <w:szCs w:val="4"/>
              </w:rPr>
            </w:pPr>
            <w:r>
              <w:rPr>
                <w:sz w:val="4"/>
                <w:szCs w:val="4"/>
              </w:rPr>
            </w:r>
          </w:p>
        </w:tc>
      </w:tr>
      <w:tr>
        <w:trPr/>
        <w:tc>
          <w:tcPr>
            <w:tcW w:w="883" w:type="dxa"/>
            <w:tcBorders/>
            <w:shd w:fill="auto" w:val="clear"/>
          </w:tcPr>
          <w:p>
            <w:pPr>
              <w:pStyle w:val="TableContents"/>
              <w:spacing w:before="0" w:after="283"/>
              <w:rPr/>
            </w:pPr>
            <w:r>
              <w:rPr/>
              <w:t>Address:</w:t>
            </w:r>
          </w:p>
        </w:tc>
        <w:tc>
          <w:tcPr>
            <w:tcW w:w="60" w:type="dxa"/>
            <w:tcBorders/>
            <w:shd w:fill="auto" w:val="clear"/>
            <w:vAlign w:val="bottom"/>
          </w:tcPr>
          <w:p>
            <w:pPr>
              <w:pStyle w:val="TableContents"/>
              <w:spacing w:before="0" w:after="283"/>
              <w:rPr/>
            </w:pPr>
            <w:r>
              <w:rPr/>
              <w:t> </w:t>
            </w:r>
          </w:p>
        </w:tc>
        <w:tc>
          <w:tcPr>
            <w:tcW w:w="3139" w:type="dxa"/>
            <w:tcBorders/>
            <w:shd w:fill="auto" w:val="clear"/>
          </w:tcPr>
          <w:p>
            <w:pPr>
              <w:pStyle w:val="TableContents"/>
              <w:spacing w:before="0" w:after="283"/>
              <w:rPr/>
            </w:pPr>
            <w:r>
              <w:rPr/>
              <w:t>505 Coast Boulevard South, Suite 202</w:t>
            </w:r>
          </w:p>
        </w:tc>
      </w:tr>
      <w:tr>
        <w:trPr/>
        <w:tc>
          <w:tcPr>
            <w:tcW w:w="8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39" w:type="dxa"/>
            <w:tcBorders/>
            <w:shd w:fill="auto" w:val="clear"/>
          </w:tcPr>
          <w:p>
            <w:pPr>
              <w:pStyle w:val="TableContents"/>
              <w:spacing w:before="0" w:after="283"/>
              <w:rPr/>
            </w:pPr>
            <w:r>
              <w:rPr/>
              <w:t>La Jolla, California 92037</w:t>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709"/>
        <w:gridCol w:w="61"/>
        <w:gridCol w:w="3312"/>
      </w:tblGrid>
      <w:tr>
        <w:trPr/>
        <w:tc>
          <w:tcPr>
            <w:tcW w:w="709"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1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[HOLDER NAME]</w:t>
            </w:r>
          </w:p>
        </w:tc>
      </w:tr>
      <w:tr>
        <w:trPr>
          <w:trHeight w:val="120" w:hRule="atLeast"/>
        </w:trPr>
        <w:tc>
          <w:tcPr>
            <w:tcW w:w="709" w:type="dxa"/>
            <w:tcBorders/>
            <w:shd w:fill="auto" w:val="clear"/>
            <w:vAlign w:val="center"/>
          </w:tcPr>
          <w:p>
            <w:pPr>
              <w:pStyle w:val="TableContents"/>
              <w:spacing w:before="0" w:after="283"/>
              <w:rPr>
                <w:sz w:val="4"/>
                <w:szCs w:val="4"/>
              </w:rPr>
            </w:pPr>
            <w:r>
              <w:rPr>
                <w:sz w:val="4"/>
                <w:szCs w:val="4"/>
              </w:rPr>
            </w:r>
          </w:p>
        </w:tc>
        <w:tc>
          <w:tcPr>
            <w:tcW w:w="3373" w:type="dxa"/>
            <w:gridSpan w:val="2"/>
            <w:tcBorders/>
            <w:shd w:fill="auto" w:val="clear"/>
            <w:vAlign w:val="center"/>
          </w:tcPr>
          <w:p>
            <w:pPr>
              <w:pStyle w:val="TableContents"/>
              <w:spacing w:before="0" w:after="283"/>
              <w:rPr>
                <w:sz w:val="4"/>
                <w:szCs w:val="4"/>
              </w:rPr>
            </w:pPr>
            <w:r>
              <w:rPr>
                <w:sz w:val="4"/>
                <w:szCs w:val="4"/>
              </w:rPr>
            </w:r>
          </w:p>
        </w:tc>
      </w:tr>
      <w:tr>
        <w:trPr/>
        <w:tc>
          <w:tcPr>
            <w:tcW w:w="709"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12" w:type="dxa"/>
            <w:tcBorders/>
            <w:shd w:fill="auto" w:val="clear"/>
          </w:tcPr>
          <w:p>
            <w:pPr>
              <w:pStyle w:val="TableContents"/>
              <w:pBdr>
                <w:bottom w:val="single" w:sz="2" w:space="1" w:color="000000"/>
              </w:pBdr>
              <w:spacing w:before="0" w:after="20"/>
              <w:rPr/>
            </w:pPr>
            <w:r>
              <w:rPr/>
              <w:t>             </w:t>
            </w:r>
          </w:p>
        </w:tc>
      </w:tr>
      <w:tr>
        <w:trPr/>
        <w:tc>
          <w:tcPr>
            <w:tcW w:w="709"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12" w:type="dxa"/>
            <w:tcBorders/>
            <w:shd w:fill="auto" w:val="clear"/>
          </w:tcPr>
          <w:p>
            <w:pPr>
              <w:pStyle w:val="TableContents"/>
              <w:pBdr>
                <w:bottom w:val="single" w:sz="2" w:space="1" w:color="000000"/>
              </w:pBdr>
              <w:spacing w:before="0" w:after="20"/>
              <w:rPr/>
            </w:pPr>
            <w:r>
              <w:rPr/>
              <w:t> </w:t>
            </w:r>
          </w:p>
        </w:tc>
      </w:tr>
      <w:tr>
        <w:trPr/>
        <w:tc>
          <w:tcPr>
            <w:tcW w:w="709"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12" w:type="dxa"/>
            <w:tcBorders/>
            <w:shd w:fill="auto" w:val="clear"/>
          </w:tcPr>
          <w:p>
            <w:pPr>
              <w:pStyle w:val="TableContents"/>
              <w:pBdr>
                <w:bottom w:val="single" w:sz="2" w:space="1" w:color="000000"/>
              </w:pBdr>
              <w:spacing w:before="0" w:after="20"/>
              <w:rPr/>
            </w:pPr>
            <w:r>
              <w:rPr/>
              <w:t> </w:t>
            </w:r>
          </w:p>
        </w:tc>
      </w:tr>
      <w:tr>
        <w:trPr/>
        <w:tc>
          <w:tcPr>
            <w:tcW w:w="709" w:type="dxa"/>
            <w:tcBorders/>
            <w:shd w:fill="auto" w:val="clear"/>
          </w:tcPr>
          <w:p>
            <w:pPr>
              <w:pStyle w:val="TableContents"/>
              <w:spacing w:before="0" w:after="283"/>
              <w:rPr/>
            </w:pPr>
            <w:r>
              <w:rPr/>
              <w:t>Date:</w:t>
            </w:r>
          </w:p>
        </w:tc>
        <w:tc>
          <w:tcPr>
            <w:tcW w:w="61" w:type="dxa"/>
            <w:tcBorders/>
            <w:shd w:fill="auto" w:val="clear"/>
            <w:vAlign w:val="bottom"/>
          </w:tcPr>
          <w:p>
            <w:pPr>
              <w:pStyle w:val="TableContents"/>
              <w:spacing w:before="0" w:after="283"/>
              <w:rPr/>
            </w:pPr>
            <w:r>
              <w:rPr/>
              <w:t> </w:t>
            </w:r>
          </w:p>
        </w:tc>
        <w:tc>
          <w:tcPr>
            <w:tcW w:w="3312" w:type="dxa"/>
            <w:tcBorders/>
            <w:shd w:fill="auto" w:val="clear"/>
          </w:tcPr>
          <w:p>
            <w:pPr>
              <w:pStyle w:val="TableContents"/>
              <w:pBdr>
                <w:bottom w:val="single" w:sz="2" w:space="1" w:color="000000"/>
              </w:pBdr>
              <w:spacing w:before="0" w:after="20"/>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NOTICE OF EXERCISE </w:t>
      </w:r>
    </w:p>
    <w:p>
      <w:pPr>
        <w:pStyle w:val="TextBody"/>
        <w:spacing w:before="120" w:after="0"/>
        <w:jc w:val="left"/>
        <w:rPr>
          <w:rFonts w:ascii="Times New Roman" w:hAnsi="Times New Roman"/>
          <w:b/>
          <w:sz w:val="20"/>
        </w:rPr>
      </w:pPr>
      <w:r>
        <w:rPr>
          <w:rFonts w:ascii="Times New Roman" w:hAnsi="Times New Roman"/>
          <w:b/>
          <w:sz w:val="20"/>
        </w:rPr>
        <w:t xml:space="preserve">TO: CALCIMEDICA, INC. </w:t>
      </w:r>
    </w:p>
    <w:p>
      <w:pPr>
        <w:pStyle w:val="TextBody"/>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 The undersigned hereby elects to purchase _______ shares of the Series A Preferred Stock of CalciMedica, Inc. (the </w:t>
      </w:r>
      <w:r>
        <w:rPr>
          <w:rFonts w:ascii="Times New Roman" w:hAnsi="Times New Roman"/>
          <w:b/>
          <w:i/>
          <w:sz w:val="20"/>
        </w:rPr>
        <w:t>Company</w:t>
      </w:r>
      <w:r>
        <w:rPr>
          <w:rFonts w:ascii="Times New Roman" w:hAnsi="Times New Roman"/>
          <w:sz w:val="20"/>
        </w:rPr>
        <w:t xml:space="preserve">) pursuant to the terms of the attached Warrant, and tenders herewith payment of the exercise price in full, together with all applicable transfer taxes, if any. </w:t>
      </w:r>
    </w:p>
    <w:p>
      <w:pPr>
        <w:pStyle w:val="TextBody"/>
        <w:spacing w:before="240" w:after="0"/>
        <w:jc w:val="left"/>
        <w:rPr/>
      </w:pPr>
      <w:r>
        <w:rPr/>
        <w:t xml:space="preserve">      ☐ </w:t>
      </w:r>
      <w:r>
        <w:rPr>
          <w:rFonts w:ascii="Times New Roman" w:hAnsi="Times New Roman"/>
          <w:sz w:val="20"/>
        </w:rPr>
        <w:t>The undersigned hereby elects to purchase _______ shares of the Series A Preferred Stock of CalciMedica, Inc. (the </w:t>
      </w:r>
      <w:r>
        <w:rPr>
          <w:rFonts w:ascii="Times New Roman" w:hAnsi="Times New Roman"/>
          <w:b/>
          <w:i/>
          <w:sz w:val="20"/>
        </w:rPr>
        <w:t>Company</w:t>
      </w:r>
      <w:r>
        <w:rPr>
          <w:rFonts w:ascii="Times New Roman" w:hAnsi="Times New Roman"/>
          <w:sz w:val="20"/>
        </w:rPr>
        <w:t xml:space="preserve">) pursuant to the terms of the net exercise provisions set forth in Section 2.1 of the attached Warrant, and shall tender payment of all applicable transfer taxes, if any. </w:t>
      </w:r>
    </w:p>
    <w:p>
      <w:pPr>
        <w:pStyle w:val="TextBody"/>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Please issue a certificate or certificates representing said shares of Series A Preferred Stock in the name of the undersigned or in such other name as is specified below: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(Name) </w:t>
      </w:r>
    </w:p>
    <w:p>
      <w:pPr>
        <w:pStyle w:val="TextBody"/>
        <w:spacing w:before="0" w:after="0"/>
        <w:jc w:val="left"/>
        <w:rPr/>
      </w:pPr>
      <w:r>
        <w:rPr/>
        <w:t> </w:t>
      </w:r>
    </w:p>
    <w:p>
      <w:pPr>
        <w:pStyle w:val="TextBody"/>
        <w:pBdr>
          <w:bottom w:val="single" w:sz="8" w:space="1" w:color="000000"/>
        </w:pBdr>
        <w:spacing w:lineRule="atLeast" w:line="141" w:before="0" w:after="0"/>
        <w:jc w:val="center"/>
        <w:rPr/>
      </w:pPr>
      <w:r>
        <w:rPr/>
        <w:t> </w:t>
      </w:r>
    </w:p>
    <w:p>
      <w:pPr>
        <w:pStyle w:val="TextBody"/>
        <w:pBdr>
          <w:bottom w:val="single" w:sz="8" w:space="1" w:color="000000"/>
        </w:pBdr>
        <w:spacing w:lineRule="atLeast" w:line="141" w:before="0" w:after="4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(Address) </w:t>
      </w:r>
    </w:p>
    <w:p>
      <w:pPr>
        <w:pStyle w:val="TextBody"/>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undersigned represents that (i) the aforesaid shares of Series A Preferred Stock are being acquired for the account of the undersigned for investment and not with a view to, or for resale in connection with, the distribution thereof and that the undersigned has no present intention of distributing or reselling such shares; (ii) the undersigned is aware of the Companys business affairs and financial condition and has acquired sufficient information about the Company to reach an informed and knowledgeable decision regarding its investment in the Company; (iii) the undersigned is experienced in making investments of this type and has such knowledge and background in financial and business matters that the undersigned is capable of evaluating the merits and risks of this investment and protecting the undersigneds own interests; (iv) the undersigned understands that the shares of Series A Preferred Stock issuable upon exercise of this Warrant have not been registered under the Securities Act of 1933, as amended (the </w:t>
      </w:r>
      <w:r>
        <w:rPr>
          <w:rFonts w:ascii="Times New Roman" w:hAnsi="Times New Roman"/>
          <w:b/>
          <w:i/>
          <w:sz w:val="20"/>
        </w:rPr>
        <w:t>Securities Act</w:t>
      </w:r>
      <w:r>
        <w:rPr>
          <w:rFonts w:ascii="Times New Roman" w:hAnsi="Times New Roman"/>
          <w:sz w:val="20"/>
        </w:rPr>
        <w:t xml:space="preserve">), by reason of a specific exemption from the registration provisions of the Securities Act, which exemption depends upon, among other things, the bona fide nature of the investment intent as expressed herein, and, because such securities have not been registered under the Securities Act, they must be held indefinitely unless subsequently registered under the Securities Act or an exemption from such registration is available; (v) the undersigned is aware that the aforesaid shares of Series A Preferred Stock may not be sold pursuant to Rule 144 adopted under the Securities Act unless certain conditions are met and until the undersigned has held the shares for the number of years prescribed by Rule 144, that among the conditions for use of the Rule is the availability of current information to the public about the Company and the Company has not made such information available and has no present plans to do so; and (vi) the undersigned agrees not to make any disposition of all or any part of the aforesaid shares of Series A Preferred Stock unless and until there is then in effect a registration statement under the Securities Act covering such proposed disposition and such disposition is made in accordance with said registration statement, or the undersigned has provided the Company with an opinion of counsel satisfactory to the Company, stating that such registration is not required. </w:t>
      </w:r>
    </w:p>
    <w:p>
      <w:pPr>
        <w:pStyle w:val="TextBody"/>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undersigned agrees that, if requested by the Company and an underwriter of common stock (or other securities) of the Company, the Undersigned shall not sell or otherwise transfer, make any short sale of, grant any option for the purchase of, or enter into any hedging or similar transaction with the same economic effect as a sale, of any common stock (or other securities) of the Company held by the Undersigned (other than those included in the registration) during the one hundred eighty (180) day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period following the effective date of the registration statement for the Companys initial public offering filed under the Securities Act (or such other period as may be requested by the Company or an underwriter to accommodate regulatory restrictions on (i) the publication or other distribution of research reports and (ii) analyst recommendations and opinions, including, but not limited to, the restrictions contained in FINRA Rule 2711(f)(4) or NYSE Rule 472(f)(4), or any successor provisions or amendments thereto), provided that all officers and directors of the Company and holders of at least one percent (1%) of the Companys voting securities are bound by and have entered into similar agreements. The obligations described in this section shall not apply to a registration relating solely to employee benefit plans on Form S-l or Form S-8 or similar forms that may be promulgated in the future, or a registration relating solely to a transaction on Form S-4 or similar forms that may be promulgated in the future. The Company may impose stop-transfer instructions and may stamp each certificate with a legend as with respect to the shares of common stock (or other securities) subject to the foregoing restriction until the end of such one hundred eighty (180) day (or other) period.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56"/>
        <w:gridCol w:w="111"/>
        <w:gridCol w:w="3361"/>
        <w:gridCol w:w="124"/>
        <w:gridCol w:w="3253"/>
      </w:tblGrid>
      <w:tr>
        <w:trPr/>
        <w:tc>
          <w:tcPr>
            <w:tcW w:w="335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336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3253" w:type="dxa"/>
            <w:tcBorders/>
            <w:shd w:fill="auto" w:val="clear"/>
            <w:vAlign w:val="center"/>
          </w:tcPr>
          <w:p>
            <w:pPr>
              <w:pStyle w:val="TableContents"/>
              <w:spacing w:before="0" w:after="283"/>
              <w:rPr>
                <w:sz w:val="4"/>
                <w:szCs w:val="4"/>
              </w:rPr>
            </w:pPr>
            <w:r>
              <w:rPr>
                <w:sz w:val="4"/>
                <w:szCs w:val="4"/>
              </w:rPr>
            </w:r>
          </w:p>
        </w:tc>
      </w:tr>
      <w:tr>
        <w:trPr/>
        <w:tc>
          <w:tcPr>
            <w:tcW w:w="3356" w:type="dxa"/>
            <w:tcBorders/>
            <w:shd w:fill="auto" w:val="clear"/>
          </w:tcPr>
          <w:p>
            <w:pPr>
              <w:pStyle w:val="TableContents"/>
              <w:pBdr>
                <w:bottom w:val="single" w:sz="2" w:space="1" w:color="000000"/>
              </w:pBdr>
              <w:spacing w:lineRule="atLeast" w:line="141" w:before="0" w:after="40"/>
              <w:rPr/>
            </w:pPr>
            <w:r>
              <w:rPr/>
              <w:t> </w:t>
            </w:r>
          </w:p>
          <w:p>
            <w:pPr>
              <w:pStyle w:val="TableContents"/>
              <w:spacing w:before="0" w:after="20"/>
              <w:rPr>
                <w:rFonts w:ascii="Times New Roman" w:hAnsi="Times New Roman"/>
                <w:sz w:val="20"/>
              </w:rPr>
            </w:pPr>
            <w:r>
              <w:rPr>
                <w:rFonts w:ascii="Times New Roman" w:hAnsi="Times New Roman"/>
                <w:sz w:val="20"/>
              </w:rPr>
              <w:t>(Date)</w:t>
            </w:r>
          </w:p>
        </w:tc>
        <w:tc>
          <w:tcPr>
            <w:tcW w:w="111" w:type="dxa"/>
            <w:tcBorders/>
            <w:shd w:fill="auto" w:val="clear"/>
            <w:vAlign w:val="bottom"/>
          </w:tcPr>
          <w:p>
            <w:pPr>
              <w:pStyle w:val="TableContents"/>
              <w:spacing w:before="0" w:after="283"/>
              <w:rPr/>
            </w:pPr>
            <w:r>
              <w:rPr/>
              <w:t> </w:t>
            </w:r>
          </w:p>
        </w:tc>
        <w:tc>
          <w:tcPr>
            <w:tcW w:w="3361"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53" w:type="dxa"/>
            <w:tcBorders/>
            <w:shd w:fill="auto" w:val="clear"/>
          </w:tcPr>
          <w:p>
            <w:pPr>
              <w:pStyle w:val="TableContents"/>
              <w:pBdr>
                <w:bottom w:val="single" w:sz="2" w:space="1" w:color="000000"/>
              </w:pBdr>
              <w:spacing w:lineRule="atLeast" w:line="141" w:before="0" w:after="40"/>
              <w:rPr/>
            </w:pPr>
            <w:r>
              <w:rPr/>
              <w:t> </w:t>
            </w:r>
          </w:p>
          <w:p>
            <w:pPr>
              <w:pStyle w:val="TableContents"/>
              <w:spacing w:before="0" w:after="20"/>
              <w:rPr>
                <w:rFonts w:ascii="Times New Roman" w:hAnsi="Times New Roman"/>
                <w:sz w:val="20"/>
              </w:rPr>
            </w:pPr>
            <w:r>
              <w:rPr>
                <w:rFonts w:ascii="Times New Roman" w:hAnsi="Times New Roman"/>
                <w:sz w:val="20"/>
              </w:rPr>
              <w:t>(Signature)</w:t>
            </w:r>
          </w:p>
        </w:tc>
      </w:tr>
      <w:tr>
        <w:trPr/>
        <w:tc>
          <w:tcPr>
            <w:tcW w:w="3356"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361"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53" w:type="dxa"/>
            <w:tcBorders/>
            <w:shd w:fill="auto" w:val="clear"/>
          </w:tcPr>
          <w:p>
            <w:pPr>
              <w:pStyle w:val="TableContents"/>
              <w:pBdr>
                <w:bottom w:val="single" w:sz="2" w:space="1" w:color="000000"/>
              </w:pBdr>
              <w:spacing w:before="0" w:after="20"/>
              <w:rPr/>
            </w:pPr>
            <w:r>
              <w:rPr/>
              <w:t> </w:t>
            </w:r>
          </w:p>
        </w:tc>
      </w:tr>
      <w:tr>
        <w:trPr/>
        <w:tc>
          <w:tcPr>
            <w:tcW w:w="3356"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361"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3253" w:type="dxa"/>
            <w:tcBorders/>
            <w:shd w:fill="auto" w:val="clear"/>
          </w:tcPr>
          <w:p>
            <w:pPr>
              <w:pStyle w:val="TableContents"/>
              <w:spacing w:before="0" w:after="283"/>
              <w:rPr/>
            </w:pPr>
            <w:r>
              <w:rPr/>
              <w:t>(Print name)</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ASSIGNMENT FORM </w:t>
      </w:r>
    </w:p>
    <w:p>
      <w:pPr>
        <w:pStyle w:val="TextBody"/>
        <w:spacing w:before="240" w:after="0"/>
        <w:jc w:val="left"/>
        <w:rPr>
          <w:rFonts w:ascii="Times New Roman" w:hAnsi="Times New Roman"/>
          <w:sz w:val="20"/>
        </w:rPr>
      </w:pPr>
      <w:r>
        <w:rPr>
          <w:rFonts w:ascii="Times New Roman" w:hAnsi="Times New Roman"/>
          <w:sz w:val="20"/>
        </w:rPr>
        <w:t xml:space="preserve">(To assign the foregoing Warrant, execute this form and supply required information. Do not use this form to purchase shares.) </w:t>
      </w:r>
    </w:p>
    <w:p>
      <w:pPr>
        <w:pStyle w:val="TextBody"/>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the foregoing Warrant and all rights evidenced thereby are hereby assigned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89"/>
        <w:gridCol w:w="109"/>
        <w:gridCol w:w="9507"/>
      </w:tblGrid>
      <w:tr>
        <w:trPr/>
        <w:tc>
          <w:tcPr>
            <w:tcW w:w="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9507" w:type="dxa"/>
            <w:tcBorders/>
            <w:shd w:fill="auto" w:val="clear"/>
            <w:vAlign w:val="center"/>
          </w:tcPr>
          <w:p>
            <w:pPr>
              <w:pStyle w:val="TableContents"/>
              <w:spacing w:before="0" w:after="283"/>
              <w:rPr>
                <w:sz w:val="4"/>
                <w:szCs w:val="4"/>
              </w:rPr>
            </w:pPr>
            <w:r>
              <w:rPr>
                <w:sz w:val="4"/>
                <w:szCs w:val="4"/>
              </w:rPr>
            </w:r>
          </w:p>
        </w:tc>
      </w:tr>
      <w:tr>
        <w:trPr/>
        <w:tc>
          <w:tcPr>
            <w:tcW w:w="589" w:type="dxa"/>
            <w:tcBorders/>
            <w:shd w:fill="auto" w:val="clear"/>
            <w:vAlign w:val="bottom"/>
          </w:tcPr>
          <w:p>
            <w:pPr>
              <w:pStyle w:val="TableContents"/>
              <w:spacing w:before="0" w:after="283"/>
              <w:rPr/>
            </w:pPr>
            <w:r>
              <w:rPr/>
              <w:t>Name:</w:t>
            </w:r>
          </w:p>
        </w:tc>
        <w:tc>
          <w:tcPr>
            <w:tcW w:w="109" w:type="dxa"/>
            <w:tcBorders/>
            <w:shd w:fill="auto" w:val="clear"/>
            <w:vAlign w:val="bottom"/>
          </w:tcPr>
          <w:p>
            <w:pPr>
              <w:pStyle w:val="TableContents"/>
              <w:spacing w:before="0" w:after="283"/>
              <w:rPr/>
            </w:pPr>
            <w:r>
              <w:rPr/>
              <w:t> </w:t>
            </w:r>
          </w:p>
        </w:tc>
        <w:tc>
          <w:tcPr>
            <w:tcW w:w="9507" w:type="dxa"/>
            <w:tcBorders/>
            <w:shd w:fill="auto" w:val="clear"/>
            <w:vAlign w:val="bottom"/>
          </w:tcPr>
          <w:p>
            <w:pPr>
              <w:pStyle w:val="TableContents"/>
              <w:pBdr>
                <w:bottom w:val="single" w:sz="2" w:space="1" w:color="000000"/>
              </w:pBdr>
              <w:spacing w:before="0" w:after="20"/>
              <w:rPr/>
            </w:pPr>
            <w:r>
              <w:rPr/>
              <w:t> </w:t>
            </w:r>
          </w:p>
        </w:tc>
      </w:tr>
      <w:tr>
        <w:trPr/>
        <w:tc>
          <w:tcPr>
            <w:tcW w:w="10205" w:type="dxa"/>
            <w:gridSpan w:val="3"/>
            <w:tcBorders/>
            <w:shd w:fill="auto" w:val="clear"/>
          </w:tcPr>
          <w:p>
            <w:pPr>
              <w:pStyle w:val="TableContents"/>
              <w:spacing w:before="0" w:after="0"/>
              <w:jc w:val="center"/>
              <w:rPr>
                <w:rFonts w:ascii="Times New Roman" w:hAnsi="Times New Roman"/>
                <w:sz w:val="20"/>
              </w:rPr>
            </w:pPr>
            <w:r>
              <w:rPr>
                <w:rFonts w:ascii="Times New Roman" w:hAnsi="Times New Roman"/>
                <w:sz w:val="20"/>
              </w:rPr>
              <w:t>(Please Print)</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03"/>
        <w:gridCol w:w="108"/>
        <w:gridCol w:w="9294"/>
      </w:tblGrid>
      <w:tr>
        <w:trPr/>
        <w:tc>
          <w:tcPr>
            <w:tcW w:w="80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9294" w:type="dxa"/>
            <w:tcBorders/>
            <w:shd w:fill="auto" w:val="clear"/>
            <w:vAlign w:val="center"/>
          </w:tcPr>
          <w:p>
            <w:pPr>
              <w:pStyle w:val="TableContents"/>
              <w:spacing w:before="0" w:after="283"/>
              <w:rPr>
                <w:sz w:val="4"/>
                <w:szCs w:val="4"/>
              </w:rPr>
            </w:pPr>
            <w:r>
              <w:rPr>
                <w:sz w:val="4"/>
                <w:szCs w:val="4"/>
              </w:rPr>
            </w:r>
          </w:p>
        </w:tc>
      </w:tr>
      <w:tr>
        <w:trPr/>
        <w:tc>
          <w:tcPr>
            <w:tcW w:w="803" w:type="dxa"/>
            <w:tcBorders/>
            <w:shd w:fill="auto" w:val="clear"/>
            <w:vAlign w:val="bottom"/>
          </w:tcPr>
          <w:p>
            <w:pPr>
              <w:pStyle w:val="TableContents"/>
              <w:spacing w:before="0" w:after="283"/>
              <w:rPr/>
            </w:pPr>
            <w:r>
              <w:rPr/>
              <w:t>Address:</w:t>
            </w:r>
          </w:p>
        </w:tc>
        <w:tc>
          <w:tcPr>
            <w:tcW w:w="108" w:type="dxa"/>
            <w:tcBorders/>
            <w:shd w:fill="auto" w:val="clear"/>
            <w:vAlign w:val="bottom"/>
          </w:tcPr>
          <w:p>
            <w:pPr>
              <w:pStyle w:val="TableContents"/>
              <w:spacing w:before="0" w:after="283"/>
              <w:rPr/>
            </w:pPr>
            <w:r>
              <w:rPr/>
              <w:t> </w:t>
            </w:r>
          </w:p>
        </w:tc>
        <w:tc>
          <w:tcPr>
            <w:tcW w:w="9294" w:type="dxa"/>
            <w:tcBorders/>
            <w:shd w:fill="auto" w:val="clear"/>
            <w:vAlign w:val="bottom"/>
          </w:tcPr>
          <w:p>
            <w:pPr>
              <w:pStyle w:val="TableContents"/>
              <w:pBdr>
                <w:bottom w:val="single" w:sz="2" w:space="1" w:color="000000"/>
              </w:pBdr>
              <w:spacing w:before="0" w:after="20"/>
              <w:rPr/>
            </w:pPr>
            <w:r>
              <w:rPr/>
              <w:t> </w:t>
            </w:r>
          </w:p>
        </w:tc>
      </w:tr>
      <w:tr>
        <w:trPr/>
        <w:tc>
          <w:tcPr>
            <w:tcW w:w="10205" w:type="dxa"/>
            <w:gridSpan w:val="3"/>
            <w:tcBorders/>
            <w:shd w:fill="auto" w:val="clear"/>
          </w:tcPr>
          <w:p>
            <w:pPr>
              <w:pStyle w:val="TableContents"/>
              <w:spacing w:before="0" w:after="0"/>
              <w:jc w:val="center"/>
              <w:rPr>
                <w:rFonts w:ascii="Times New Roman" w:hAnsi="Times New Roman"/>
                <w:sz w:val="20"/>
              </w:rPr>
            </w:pPr>
            <w:r>
              <w:rPr>
                <w:rFonts w:ascii="Times New Roman" w:hAnsi="Times New Roman"/>
                <w:sz w:val="20"/>
              </w:rPr>
              <w:t>(Please Print)</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spacing w:before="0" w:after="283"/>
              <w:rPr/>
            </w:pPr>
            <w:r>
              <w:rPr/>
              <w:t>Dated: ______________, 20__</w:t>
            </w:r>
          </w:p>
        </w:tc>
      </w:tr>
      <w:tr>
        <w:trPr/>
        <w:tc>
          <w:tcPr>
            <w:tcW w:w="10205" w:type="dxa"/>
            <w:tcBorders/>
            <w:shd w:fill="auto" w:val="clear"/>
            <w:vAlign w:val="bottom"/>
          </w:tcPr>
          <w:p>
            <w:pPr>
              <w:pStyle w:val="TableContents"/>
              <w:spacing w:before="0" w:after="283"/>
              <w:rPr/>
            </w:pPr>
            <w:r>
              <w:rPr/>
              <w:t>Holders</w:t>
            </w:r>
          </w:p>
        </w:tc>
      </w:tr>
      <w:tr>
        <w:trPr/>
        <w:tc>
          <w:tcPr>
            <w:tcW w:w="10205" w:type="dxa"/>
            <w:tcBorders/>
            <w:shd w:fill="auto" w:val="clear"/>
            <w:vAlign w:val="bottom"/>
          </w:tcPr>
          <w:p>
            <w:pPr>
              <w:pStyle w:val="TableContents"/>
              <w:spacing w:before="0" w:after="283"/>
              <w:rPr/>
            </w:pPr>
            <w:r>
              <w:rPr/>
              <w:t xml:space="preserve">Signature: </w:t>
            </w:r>
            <w:r>
              <w:rPr>
                <w:u w:val="single"/>
              </w:rPr>
              <w:t>                                             </w:t>
            </w:r>
          </w:p>
        </w:tc>
      </w:tr>
      <w:tr>
        <w:trPr/>
        <w:tc>
          <w:tcPr>
            <w:tcW w:w="10205" w:type="dxa"/>
            <w:tcBorders/>
            <w:shd w:fill="auto" w:val="clear"/>
            <w:vAlign w:val="bottom"/>
          </w:tcPr>
          <w:p>
            <w:pPr>
              <w:pStyle w:val="TableContents"/>
              <w:spacing w:before="0" w:after="283"/>
              <w:rPr/>
            </w:pPr>
            <w:r>
              <w:rPr/>
              <w:t>Holders</w:t>
            </w:r>
          </w:p>
        </w:tc>
      </w:tr>
      <w:tr>
        <w:trPr/>
        <w:tc>
          <w:tcPr>
            <w:tcW w:w="10205" w:type="dxa"/>
            <w:tcBorders/>
            <w:shd w:fill="auto" w:val="clear"/>
            <w:vAlign w:val="bottom"/>
          </w:tcPr>
          <w:p>
            <w:pPr>
              <w:pStyle w:val="TableContents"/>
              <w:spacing w:before="0" w:after="283"/>
              <w:rPr/>
            </w:pPr>
            <w:r>
              <w:rPr/>
              <w:t xml:space="preserve">Address: </w:t>
            </w:r>
            <w:r>
              <w:rPr>
                <w:u w:val="single"/>
              </w:rPr>
              <w:t>                                             </w:t>
            </w:r>
          </w:p>
        </w:tc>
      </w:tr>
    </w:tbl>
    <w:p>
      <w:pPr>
        <w:pStyle w:val="TextBody"/>
        <w:spacing w:before="24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The signature to this Assignment Form must correspond with the name as it appears on the face of the Warrant, without alteration or enlargement or any change whatever. Officers of corporations and those acting in a fiduciary or other representative capacity should file proper evidence of authority to assign the foregoing Warrant. </w:t>
      </w:r>
      <w:r>
        <w:br w:type="page"/>
      </w:r>
    </w:p>
    <w:p>
      <w:pPr>
        <w:pStyle w:val="TextBody"/>
        <w:spacing w:before="0" w:after="0"/>
        <w:jc w:val="right"/>
        <w:rPr>
          <w:rFonts w:ascii="Times New Roman" w:hAnsi="Times New Roman"/>
          <w:b/>
          <w:sz w:val="20"/>
        </w:rPr>
      </w:pPr>
      <w:bookmarkStart w:id="18" w:name="d482049dex51.htm"/>
      <w:bookmarkStart w:id="19" w:name="ksd482049dex51"/>
      <w:bookmarkEnd w:id="18"/>
      <w:bookmarkEnd w:id="19"/>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left"/>
        <w:rPr/>
      </w:pPr>
      <w:r>
        <w:rPr/>
        <w:drawing>
          <wp:inline distT="0" distB="0" distL="0" distR="0">
            <wp:extent cx="13049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1304925" cy="42862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Carlos A. Ramirez </w:t>
      </w:r>
    </w:p>
    <w:p>
      <w:pPr>
        <w:pStyle w:val="TextBody"/>
        <w:spacing w:before="0" w:after="0"/>
        <w:jc w:val="left"/>
        <w:rPr>
          <w:rFonts w:ascii="Times New Roman" w:hAnsi="Times New Roman"/>
          <w:sz w:val="20"/>
        </w:rPr>
      </w:pPr>
      <w:r>
        <w:rPr>
          <w:rFonts w:ascii="Times New Roman" w:hAnsi="Times New Roman"/>
          <w:sz w:val="20"/>
        </w:rPr>
        <w:t xml:space="preserve">T: +1 858 550 6157 </w:t>
      </w:r>
    </w:p>
    <w:p>
      <w:pPr>
        <w:pStyle w:val="TextBody"/>
        <w:spacing w:before="0" w:after="0"/>
        <w:jc w:val="left"/>
        <w:rPr>
          <w:rFonts w:ascii="Times New Roman" w:hAnsi="Times New Roman"/>
          <w:sz w:val="20"/>
        </w:rPr>
      </w:pPr>
      <w:r>
        <w:rPr>
          <w:rFonts w:ascii="Times New Roman" w:hAnsi="Times New Roman"/>
          <w:sz w:val="20"/>
        </w:rPr>
        <w:t xml:space="preserve">cramirez@cooley.com </w:t>
      </w:r>
    </w:p>
    <w:p>
      <w:pPr>
        <w:pStyle w:val="TextBody"/>
        <w:spacing w:before="240" w:after="0"/>
        <w:jc w:val="left"/>
        <w:rPr>
          <w:rFonts w:ascii="Times New Roman" w:hAnsi="Times New Roman"/>
          <w:sz w:val="20"/>
        </w:rPr>
      </w:pPr>
      <w:r>
        <w:rPr>
          <w:rFonts w:ascii="Times New Roman" w:hAnsi="Times New Roman"/>
          <w:sz w:val="20"/>
        </w:rPr>
        <w:t xml:space="preserve">April 4, 2023 </w:t>
      </w:r>
    </w:p>
    <w:p>
      <w:pPr>
        <w:pStyle w:val="TextBody"/>
        <w:spacing w:before="240" w:after="0"/>
        <w:jc w:val="left"/>
        <w:rPr>
          <w:rFonts w:ascii="Times New Roman" w:hAnsi="Times New Roman"/>
          <w:sz w:val="20"/>
        </w:rPr>
      </w:pPr>
      <w:r>
        <w:rPr>
          <w:rFonts w:ascii="Times New Roman" w:hAnsi="Times New Roman"/>
          <w:sz w:val="20"/>
        </w:rPr>
        <w:t xml:space="preserve">CalciMedica, Inc. </w:t>
      </w:r>
    </w:p>
    <w:p>
      <w:pPr>
        <w:pStyle w:val="TextBody"/>
        <w:spacing w:before="0" w:after="0"/>
        <w:jc w:val="left"/>
        <w:rPr>
          <w:rFonts w:ascii="Times New Roman" w:hAnsi="Times New Roman"/>
          <w:sz w:val="20"/>
        </w:rPr>
      </w:pPr>
      <w:r>
        <w:rPr>
          <w:rFonts w:ascii="Times New Roman" w:hAnsi="Times New Roman"/>
          <w:sz w:val="20"/>
        </w:rPr>
        <w:t xml:space="preserve">505 Coast Boulevard South, Suite 307 </w:t>
      </w:r>
    </w:p>
    <w:p>
      <w:pPr>
        <w:pStyle w:val="TextBody"/>
        <w:spacing w:before="0" w:after="0"/>
        <w:jc w:val="left"/>
        <w:rPr>
          <w:rFonts w:ascii="Times New Roman" w:hAnsi="Times New Roman"/>
          <w:sz w:val="20"/>
        </w:rPr>
      </w:pPr>
      <w:r>
        <w:rPr>
          <w:rFonts w:ascii="Times New Roman" w:hAnsi="Times New Roman"/>
          <w:sz w:val="20"/>
        </w:rPr>
        <w:t xml:space="preserve">La Jolla, CA 92037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Re:</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CalciMedica, Inc.  Registration Statement on Form S-3 </w:t>
            </w:r>
          </w:p>
        </w:tc>
      </w:tr>
    </w:tbl>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We have acted as counsel to CalciMedica, Inc. (f/k/a Graybug Vision,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including the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4,220,995 shares of the Companys common stock, par value $0.0001 per share (the </w:t>
      </w:r>
      <w:r>
        <w:rPr>
          <w:rFonts w:ascii="Times New Roman" w:hAnsi="Times New Roman"/>
          <w:b/>
          <w:i/>
          <w:sz w:val="20"/>
        </w:rPr>
        <w:t>Common Stock</w:t>
      </w:r>
      <w:r>
        <w:rPr>
          <w:rFonts w:ascii="Times New Roman" w:hAnsi="Times New Roman"/>
          <w:sz w:val="20"/>
        </w:rPr>
        <w:t>), consisting of: (i) 3,946,540 shares (the </w:t>
      </w:r>
      <w:r>
        <w:rPr>
          <w:rFonts w:ascii="Times New Roman" w:hAnsi="Times New Roman"/>
          <w:b/>
          <w:i/>
          <w:sz w:val="20"/>
        </w:rPr>
        <w:t>Shares</w:t>
      </w:r>
      <w:r>
        <w:rPr>
          <w:rFonts w:ascii="Times New Roman" w:hAnsi="Times New Roman"/>
          <w:sz w:val="20"/>
        </w:rPr>
        <w:t>) of currently outstanding Common Stock issued to certain securityholders of CalciMedica, Inc. pursuant to the Agreement and Plan of Merger by and among Graybug Vision, Inc., Camaro Merger Sub, Inc. and CalciMedica, Inc., dated as of November 21, 2022, as amended on February 10, 2023 (</w:t>
      </w:r>
      <w:r>
        <w:rPr>
          <w:rFonts w:ascii="Times New Roman" w:hAnsi="Times New Roman"/>
          <w:b/>
          <w:i/>
          <w:sz w:val="20"/>
        </w:rPr>
        <w:t>Merger Agreement</w:t>
      </w:r>
      <w:r>
        <w:rPr>
          <w:rFonts w:ascii="Times New Roman" w:hAnsi="Times New Roman"/>
          <w:sz w:val="20"/>
        </w:rPr>
        <w:t>); and (ii) up to 274,455 shares (the </w:t>
      </w:r>
      <w:r>
        <w:rPr>
          <w:rFonts w:ascii="Times New Roman" w:hAnsi="Times New Roman"/>
          <w:b/>
          <w:i/>
          <w:sz w:val="20"/>
        </w:rPr>
        <w:t>Warrant Shares</w:t>
      </w:r>
      <w:r>
        <w:rPr>
          <w:rFonts w:ascii="Times New Roman" w:hAnsi="Times New Roman"/>
          <w:sz w:val="20"/>
        </w:rPr>
        <w:t>) of Common Stock issuable upon the exercise by the holders thereof of certain warrants assumed by the Company pursuant to the Merger Agreement (the </w:t>
      </w:r>
      <w:r>
        <w:rPr>
          <w:rFonts w:ascii="Times New Roman" w:hAnsi="Times New Roman"/>
          <w:b/>
          <w:i/>
          <w:sz w:val="20"/>
        </w:rPr>
        <w:t>Warrants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Prospectus, (b) the Companys certificate of incorporation and bylaws, each as currently in effect, (c) the Merger Agreement, (d) the Warrants, and (e) originals, or copies certified to our satisfaction, of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 </w:t>
      </w:r>
    </w:p>
    <w:p>
      <w:pPr>
        <w:pStyle w:val="TextBody"/>
        <w:spacing w:before="240" w:after="0"/>
        <w:jc w:val="left"/>
        <w:rPr>
          <w:rFonts w:ascii="Times New Roman" w:hAnsi="Times New Roman"/>
          <w:sz w:val="20"/>
        </w:rPr>
      </w:pPr>
      <w:r>
        <w:rPr>
          <w:rFonts w:ascii="Times New Roman" w:hAnsi="Times New Roman"/>
          <w:sz w:val="20"/>
        </w:rPr>
        <w:t xml:space="preserve">With respect to the Warrant Shares, we express no opinion to the extent that future issuances of securities of the Company, antidilution adjustments to outstanding securities of the Company and/or other matters cause the Warrants to be exercisable for more shares of Common Stock than the number of shares of Common Stock that are available for issuance by the Company. Further, we have assumed the exercise price of the Warrants will not be adjusted to an amount below the par value per share of Common Stock. </w:t>
      </w:r>
    </w:p>
    <w:p>
      <w:pPr>
        <w:pStyle w:val="TextBody"/>
        <w:spacing w:before="240" w:after="0"/>
        <w:jc w:val="left"/>
        <w:rPr>
          <w:rFonts w:ascii="Times New Roman" w:hAnsi="Times New Roman"/>
          <w:sz w:val="20"/>
        </w:rPr>
      </w:pPr>
      <w:r>
        <w:rPr>
          <w:rFonts w:ascii="Times New Roman" w:hAnsi="Times New Roman"/>
          <w:sz w:val="20"/>
        </w:rPr>
        <w:t xml:space="preserve">Our opinion herein is expressed solely with respect to the General Corporation Law of the State of Delaware and the laws of the State of New York. We express no opinion to the extent that any other laws are applicable to the subject matter hereof and express no opinion and provide no assurance as to compliance with any federal or state securities law, rule or regulation.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spacing w:before="0" w:after="0"/>
        <w:jc w:val="center"/>
        <w:rPr>
          <w:rFonts w:ascii="Times New Roman" w:hAnsi="Times New Roman"/>
          <w:sz w:val="20"/>
        </w:rPr>
      </w:pPr>
      <w:r>
        <w:rPr>
          <w:rFonts w:ascii="Times New Roman" w:hAnsi="Times New Roman"/>
          <w:sz w:val="20"/>
        </w:rPr>
        <w:t xml:space="preserve">t: +1 858 550 6000 f: +1 858 550-6420 cooley.com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130492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1304925" cy="428625"/>
                    </a:xfrm>
                    <a:prstGeom prst="rect">
                      <a:avLst/>
                    </a:prstGeom>
                  </pic:spPr>
                </pic:pic>
              </a:graphicData>
            </a:graphic>
          </wp:inline>
        </w:drawing>
      </w:r>
      <w:r>
        <w:rPr/>
        <w:t xml:space="preserve"> </w:t>
      </w:r>
    </w:p>
    <w:p>
      <w:pPr>
        <w:pStyle w:val="TextBody"/>
        <w:spacing w:before="120" w:after="0"/>
        <w:jc w:val="left"/>
        <w:rPr>
          <w:rFonts w:ascii="Times New Roman" w:hAnsi="Times New Roman"/>
          <w:sz w:val="20"/>
        </w:rPr>
      </w:pPr>
      <w:r>
        <w:rPr>
          <w:rFonts w:ascii="Times New Roman" w:hAnsi="Times New Roman"/>
          <w:sz w:val="20"/>
        </w:rPr>
        <w:t xml:space="preserve">April 4, 2023 </w:t>
      </w:r>
    </w:p>
    <w:p>
      <w:pPr>
        <w:pStyle w:val="TextBody"/>
        <w:spacing w:before="0" w:after="0"/>
        <w:jc w:val="left"/>
        <w:rPr>
          <w:rFonts w:ascii="Times New Roman" w:hAnsi="Times New Roman"/>
          <w:sz w:val="20"/>
        </w:rPr>
      </w:pPr>
      <w:r>
        <w:rPr>
          <w:rFonts w:ascii="Times New Roman" w:hAnsi="Times New Roman"/>
          <w:sz w:val="20"/>
        </w:rPr>
        <w:t xml:space="preserve">Page Two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On the basis of the foregoing, and in reliance thereon, we are of the opinion that (i) the Shares, are validly issued, fully paid and nonassessable and (ii) the Warrant Shares, when sold and issued in accordance with the terms of the Warrants,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 </w:t>
      </w:r>
    </w:p>
    <w:p>
      <w:pPr>
        <w:pStyle w:val="TextBody"/>
        <w:spacing w:before="24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78"/>
        <w:gridCol w:w="61"/>
        <w:gridCol w:w="3643"/>
      </w:tblGrid>
      <w:tr>
        <w:trPr/>
        <w:tc>
          <w:tcPr>
            <w:tcW w:w="37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Sincerely,</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COOLEY LLP</w:t>
            </w:r>
          </w:p>
        </w:tc>
      </w:tr>
      <w:tr>
        <w:trPr>
          <w:trHeight w:val="240" w:hRule="atLeast"/>
        </w:trPr>
        <w:tc>
          <w:tcPr>
            <w:tcW w:w="378" w:type="dxa"/>
            <w:tcBorders/>
            <w:shd w:fill="auto" w:val="clear"/>
            <w:vAlign w:val="center"/>
          </w:tcPr>
          <w:p>
            <w:pPr>
              <w:pStyle w:val="TableContents"/>
              <w:spacing w:before="0" w:after="283"/>
              <w:rPr>
                <w:sz w:val="4"/>
                <w:szCs w:val="4"/>
              </w:rPr>
            </w:pPr>
            <w:r>
              <w:rPr>
                <w:sz w:val="4"/>
                <w:szCs w:val="4"/>
              </w:rPr>
            </w:r>
          </w:p>
        </w:tc>
        <w:tc>
          <w:tcPr>
            <w:tcW w:w="3704" w:type="dxa"/>
            <w:gridSpan w:val="2"/>
            <w:tcBorders/>
            <w:shd w:fill="auto" w:val="clear"/>
            <w:vAlign w:val="center"/>
          </w:tcPr>
          <w:p>
            <w:pPr>
              <w:pStyle w:val="TableContents"/>
              <w:spacing w:before="0" w:after="283"/>
              <w:rPr>
                <w:sz w:val="4"/>
                <w:szCs w:val="4"/>
              </w:rPr>
            </w:pPr>
            <w:r>
              <w:rPr>
                <w:sz w:val="4"/>
                <w:szCs w:val="4"/>
              </w:rPr>
            </w:r>
          </w:p>
        </w:tc>
      </w:tr>
      <w:tr>
        <w:trPr/>
        <w:tc>
          <w:tcPr>
            <w:tcW w:w="378"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3"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Carlos A. Ramirez</w:t>
            </w:r>
          </w:p>
        </w:tc>
      </w:tr>
      <w:tr>
        <w:trPr/>
        <w:tc>
          <w:tcPr>
            <w:tcW w:w="37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3" w:type="dxa"/>
            <w:tcBorders/>
            <w:shd w:fill="auto" w:val="clear"/>
          </w:tcPr>
          <w:p>
            <w:pPr>
              <w:pStyle w:val="TableContents"/>
              <w:spacing w:before="0" w:after="283"/>
              <w:rPr/>
            </w:pPr>
            <w:r>
              <w:rPr/>
              <w:t>Carlos A. Ramirez</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spacing w:before="0" w:after="0"/>
        <w:jc w:val="center"/>
        <w:rPr>
          <w:rFonts w:ascii="Times New Roman" w:hAnsi="Times New Roman"/>
          <w:sz w:val="20"/>
        </w:rPr>
      </w:pPr>
      <w:r>
        <w:rPr>
          <w:rFonts w:ascii="Times New Roman" w:hAnsi="Times New Roman"/>
          <w:sz w:val="20"/>
        </w:rPr>
        <w:t xml:space="preserve">t: +1 858 550 6000 f: +1 858 550-6420 cooley.com </w:t>
      </w:r>
      <w:r>
        <w:br w:type="page"/>
      </w:r>
    </w:p>
    <w:p>
      <w:pPr>
        <w:pStyle w:val="TextBody"/>
        <w:spacing w:before="0" w:after="0"/>
        <w:jc w:val="right"/>
        <w:rPr>
          <w:rFonts w:ascii="Times New Roman" w:hAnsi="Times New Roman"/>
          <w:b/>
          <w:sz w:val="20"/>
        </w:rPr>
      </w:pPr>
      <w:bookmarkStart w:id="20" w:name="d482049dex231.htm"/>
      <w:bookmarkStart w:id="21" w:name="ksd482049dex231"/>
      <w:bookmarkEnd w:id="20"/>
      <w:bookmarkEnd w:id="21"/>
      <w:r>
        <w:rPr>
          <w:rFonts w:ascii="Times New Roman" w:hAnsi="Times New Roman"/>
          <w:b/>
          <w:sz w:val="20"/>
        </w:rPr>
        <w:t xml:space="preserve">Exhibit 23.1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Preliminary Prospectus of CalciMedica, Inc. for the registration of 4,220,995 shares of its common stock and to the incorporation by reference therein of our report dated March 8, 2023, with respect to the consolidated financial statements of Graybug Vision, Inc. included in Graybug Vision, Inc.s, Annual Report (Form 10-K) for the year ended December 31, 2022,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San Mateo, California </w:t>
      </w:r>
    </w:p>
    <w:p>
      <w:pPr>
        <w:pStyle w:val="TextBody"/>
        <w:spacing w:before="0" w:after="0"/>
        <w:jc w:val="left"/>
        <w:rPr>
          <w:rFonts w:ascii="Times New Roman" w:hAnsi="Times New Roman"/>
          <w:sz w:val="20"/>
        </w:rPr>
      </w:pPr>
      <w:r>
        <w:rPr>
          <w:rFonts w:ascii="Times New Roman" w:hAnsi="Times New Roman"/>
          <w:sz w:val="20"/>
        </w:rPr>
        <w:t xml:space="preserve">April 4, 2023 </w:t>
      </w:r>
      <w:r>
        <w:br w:type="page"/>
      </w:r>
    </w:p>
    <w:p>
      <w:pPr>
        <w:pStyle w:val="TextBody"/>
        <w:spacing w:before="0" w:after="0"/>
        <w:jc w:val="right"/>
        <w:rPr>
          <w:rFonts w:ascii="Times New Roman" w:hAnsi="Times New Roman"/>
          <w:b/>
          <w:sz w:val="20"/>
        </w:rPr>
      </w:pPr>
      <w:bookmarkStart w:id="22" w:name="d482049dex232.htm"/>
      <w:bookmarkStart w:id="23" w:name="ksd482049dex232"/>
      <w:bookmarkEnd w:id="22"/>
      <w:bookmarkEnd w:id="23"/>
      <w:r>
        <w:rPr>
          <w:rFonts w:ascii="Times New Roman" w:hAnsi="Times New Roman"/>
          <w:b/>
          <w:sz w:val="20"/>
        </w:rPr>
        <w:t xml:space="preserve">Exhibit 23.2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CalciMedica, Inc. for the registration of up to 4,220,995 shares of its common stock and to the incorporation by reference therein of our report dated April 4, 2023, with respect to the financial statements of CalciMedica, Inc. included in its Current Report (Form 8-K/A) dated April 4, 2023,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San Diego, California </w:t>
      </w:r>
    </w:p>
    <w:p>
      <w:pPr>
        <w:pStyle w:val="TextBody"/>
        <w:spacing w:before="0" w:after="0"/>
        <w:jc w:val="left"/>
        <w:rPr>
          <w:rFonts w:ascii="Times New Roman" w:hAnsi="Times New Roman"/>
          <w:sz w:val="20"/>
        </w:rPr>
      </w:pPr>
      <w:r>
        <w:rPr>
          <w:rFonts w:ascii="Times New Roman" w:hAnsi="Times New Roman"/>
          <w:sz w:val="20"/>
        </w:rPr>
        <w:t xml:space="preserve">April 4, 2023 </w:t>
      </w:r>
      <w:r>
        <w:br w:type="page"/>
      </w:r>
    </w:p>
    <w:p>
      <w:pPr>
        <w:pStyle w:val="TextBody"/>
        <w:spacing w:before="0" w:after="0"/>
        <w:jc w:val="right"/>
        <w:rPr>
          <w:rFonts w:ascii="Times New Roman" w:hAnsi="Times New Roman"/>
          <w:b/>
          <w:sz w:val="20"/>
        </w:rPr>
      </w:pPr>
      <w:bookmarkStart w:id="24" w:name="d482049dexfilingfees.htm"/>
      <w:bookmarkStart w:id="25" w:name="ksd482049dexfilingfees"/>
      <w:bookmarkEnd w:id="24"/>
      <w:bookmarkEnd w:id="25"/>
      <w:r>
        <w:rPr>
          <w:rFonts w:ascii="Times New Roman" w:hAnsi="Times New Roman"/>
          <w:b/>
          <w:sz w:val="20"/>
        </w:rPr>
        <w:t xml:space="preserve">Exhibit 107 </w:t>
      </w:r>
    </w:p>
    <w:p>
      <w:pPr>
        <w:pStyle w:val="TextBody"/>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spacing w:before="240" w:after="0"/>
        <w:jc w:val="center"/>
        <w:rPr>
          <w:rFonts w:ascii="Times New Roman" w:hAnsi="Times New Roman"/>
          <w:sz w:val="20"/>
        </w:rPr>
      </w:pPr>
      <w:r>
        <w:rPr>
          <w:rFonts w:ascii="Times New Roman" w:hAnsi="Times New Roman"/>
          <w:sz w:val="20"/>
        </w:rPr>
        <w:t xml:space="preserve">Form S-3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240" w:after="0"/>
        <w:jc w:val="center"/>
        <w:rPr>
          <w:rFonts w:ascii="Times New Roman" w:hAnsi="Times New Roman"/>
          <w:sz w:val="20"/>
        </w:rPr>
      </w:pPr>
      <w:r>
        <w:rPr>
          <w:rFonts w:ascii="Times New Roman" w:hAnsi="Times New Roman"/>
          <w:sz w:val="20"/>
        </w:rPr>
        <w:t xml:space="preserve">CalciMedica, Inc.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50"/>
        <w:gridCol w:w="62"/>
        <w:gridCol w:w="652"/>
        <w:gridCol w:w="62"/>
        <w:gridCol w:w="776"/>
        <w:gridCol w:w="62"/>
        <w:gridCol w:w="699"/>
        <w:gridCol w:w="62"/>
        <w:gridCol w:w="1064"/>
        <w:gridCol w:w="62"/>
        <w:gridCol w:w="642"/>
        <w:gridCol w:w="62"/>
        <w:gridCol w:w="1524"/>
        <w:gridCol w:w="62"/>
        <w:gridCol w:w="1280"/>
        <w:gridCol w:w="62"/>
        <w:gridCol w:w="989"/>
      </w:tblGrid>
      <w:tr>
        <w:trPr/>
        <w:tc>
          <w:tcPr>
            <w:tcW w:w="45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45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14"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38"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61"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2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04"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42"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50" w:type="dxa"/>
            <w:tcBorders>
              <w:left w:val="single" w:sz="2" w:space="0" w:color="000000"/>
            </w:tcBorders>
            <w:shd w:fill="auto" w:val="clear"/>
            <w:tcMar>
              <w:left w:w="160" w:type="dxa"/>
            </w:tcMar>
            <w:vAlign w:val="bottom"/>
          </w:tcPr>
          <w:p>
            <w:pPr>
              <w:pStyle w:val="TableContents"/>
              <w:spacing w:before="0" w:after="283"/>
              <w:rPr/>
            </w:pPr>
            <w:r>
              <w:rPr/>
              <w:t>  </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652"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Security</w:t>
            </w:r>
          </w:p>
          <w:p>
            <w:pPr>
              <w:pStyle w:val="TableContents"/>
              <w:spacing w:before="0" w:after="20"/>
              <w:jc w:val="center"/>
              <w:rPr>
                <w:rFonts w:ascii="Times New Roman" w:hAnsi="Times New Roman"/>
                <w:sz w:val="14"/>
              </w:rPr>
            </w:pPr>
            <w:r>
              <w:rPr>
                <w:rFonts w:ascii="Times New Roman" w:hAnsi="Times New Roman"/>
                <w:sz w:val="14"/>
              </w:rPr>
              <w:t>Type</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776"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Security</w:t>
              <w:br/>
              <w:t>Class</w:t>
            </w:r>
          </w:p>
          <w:p>
            <w:pPr>
              <w:pStyle w:val="TableContents"/>
              <w:spacing w:before="0" w:after="20"/>
              <w:jc w:val="center"/>
              <w:rPr>
                <w:rFonts w:ascii="Times New Roman" w:hAnsi="Times New Roman"/>
                <w:sz w:val="14"/>
              </w:rPr>
            </w:pPr>
            <w:r>
              <w:rPr>
                <w:rFonts w:ascii="Times New Roman" w:hAnsi="Times New Roman"/>
                <w:sz w:val="14"/>
              </w:rPr>
              <w:t>Title</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699"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0"/>
              <w:jc w:val="center"/>
              <w:rPr>
                <w:rFonts w:ascii="Times New Roman" w:hAnsi="Times New Roman"/>
                <w:sz w:val="14"/>
              </w:rPr>
            </w:pPr>
            <w:r>
              <w:rPr>
                <w:rFonts w:ascii="Times New Roman" w:hAnsi="Times New Roman"/>
                <w:sz w:val="14"/>
              </w:rPr>
              <w:t>Calculation</w:t>
            </w:r>
          </w:p>
          <w:p>
            <w:pPr>
              <w:pStyle w:val="TableContents"/>
              <w:spacing w:before="0" w:after="0"/>
              <w:jc w:val="center"/>
              <w:rPr>
                <w:rFonts w:ascii="Times New Roman" w:hAnsi="Times New Roman"/>
                <w:sz w:val="14"/>
              </w:rPr>
            </w:pPr>
            <w:r>
              <w:rPr>
                <w:rFonts w:ascii="Times New Roman" w:hAnsi="Times New Roman"/>
                <w:sz w:val="14"/>
              </w:rPr>
              <w:t>or Carry</w:t>
            </w:r>
          </w:p>
          <w:p>
            <w:pPr>
              <w:pStyle w:val="TableContents"/>
              <w:spacing w:before="0" w:after="0"/>
              <w:jc w:val="center"/>
              <w:rPr>
                <w:rFonts w:ascii="Times New Roman" w:hAnsi="Times New Roman"/>
                <w:sz w:val="14"/>
              </w:rPr>
            </w:pPr>
            <w:r>
              <w:rPr>
                <w:rFonts w:ascii="Times New Roman" w:hAnsi="Times New Roman"/>
                <w:sz w:val="14"/>
              </w:rPr>
              <w:t>Forward</w:t>
            </w:r>
          </w:p>
          <w:p>
            <w:pPr>
              <w:pStyle w:val="TableContents"/>
              <w:spacing w:before="0" w:after="20"/>
              <w:jc w:val="center"/>
              <w:rPr>
                <w:rFonts w:ascii="Times New Roman" w:hAnsi="Times New Roman"/>
                <w:sz w:val="14"/>
              </w:rPr>
            </w:pPr>
            <w:r>
              <w:rPr>
                <w:rFonts w:ascii="Times New Roman" w:hAnsi="Times New Roman"/>
                <w:sz w:val="14"/>
              </w:rPr>
              <w:t>Rule</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064"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Amount</w:t>
            </w:r>
          </w:p>
          <w:p>
            <w:pPr>
              <w:pStyle w:val="TableContents"/>
              <w:spacing w:before="0" w:after="20"/>
              <w:jc w:val="center"/>
              <w:rPr>
                <w:rFonts w:ascii="Times New Roman" w:hAnsi="Times New Roman"/>
                <w:sz w:val="14"/>
              </w:rPr>
            </w:pPr>
            <w:r>
              <w:rPr>
                <w:rFonts w:ascii="Times New Roman" w:hAnsi="Times New Roman"/>
                <w:sz w:val="14"/>
              </w:rPr>
              <w:t>Registered(1)</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642"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Proposed</w:t>
            </w:r>
          </w:p>
          <w:p>
            <w:pPr>
              <w:pStyle w:val="TableContents"/>
              <w:spacing w:before="0" w:after="0"/>
              <w:jc w:val="center"/>
              <w:rPr>
                <w:rFonts w:ascii="Times New Roman" w:hAnsi="Times New Roman"/>
                <w:sz w:val="14"/>
              </w:rPr>
            </w:pPr>
            <w:r>
              <w:rPr>
                <w:rFonts w:ascii="Times New Roman" w:hAnsi="Times New Roman"/>
                <w:sz w:val="14"/>
              </w:rPr>
              <w:t>Maximum</w:t>
            </w:r>
          </w:p>
          <w:p>
            <w:pPr>
              <w:pStyle w:val="TableContents"/>
              <w:spacing w:before="0" w:after="0"/>
              <w:jc w:val="center"/>
              <w:rPr>
                <w:rFonts w:ascii="Times New Roman" w:hAnsi="Times New Roman"/>
                <w:sz w:val="14"/>
              </w:rPr>
            </w:pPr>
            <w:r>
              <w:rPr>
                <w:rFonts w:ascii="Times New Roman" w:hAnsi="Times New Roman"/>
                <w:sz w:val="14"/>
              </w:rPr>
              <w:t>Offering</w:t>
              <w:br/>
              <w:t>Price</w:t>
            </w:r>
          </w:p>
          <w:p>
            <w:pPr>
              <w:pStyle w:val="TableContents"/>
              <w:spacing w:before="0" w:after="20"/>
              <w:jc w:val="center"/>
              <w:rPr>
                <w:rFonts w:ascii="Times New Roman" w:hAnsi="Times New Roman"/>
                <w:sz w:val="14"/>
              </w:rPr>
            </w:pPr>
            <w:r>
              <w:rPr>
                <w:rFonts w:ascii="Times New Roman" w:hAnsi="Times New Roman"/>
                <w:sz w:val="14"/>
              </w:rPr>
              <w:t>Per Unit</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524"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Maximum</w:t>
            </w:r>
          </w:p>
          <w:p>
            <w:pPr>
              <w:pStyle w:val="TableContents"/>
              <w:spacing w:before="0" w:after="0"/>
              <w:jc w:val="center"/>
              <w:rPr>
                <w:rFonts w:ascii="Times New Roman" w:hAnsi="Times New Roman"/>
                <w:sz w:val="14"/>
              </w:rPr>
            </w:pPr>
            <w:r>
              <w:rPr>
                <w:rFonts w:ascii="Times New Roman" w:hAnsi="Times New Roman"/>
                <w:sz w:val="14"/>
              </w:rPr>
              <w:t>Aggregate</w:t>
            </w:r>
          </w:p>
          <w:p>
            <w:pPr>
              <w:pStyle w:val="TableContents"/>
              <w:spacing w:before="0" w:after="20"/>
              <w:jc w:val="center"/>
              <w:rPr>
                <w:rFonts w:ascii="Times New Roman" w:hAnsi="Times New Roman"/>
                <w:sz w:val="14"/>
              </w:rPr>
            </w:pPr>
            <w:r>
              <w:rPr>
                <w:rFonts w:ascii="Times New Roman" w:hAnsi="Times New Roman"/>
                <w:sz w:val="14"/>
              </w:rPr>
              <w:t>Offering Price</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center"/>
              <w:rPr/>
            </w:pPr>
            <w:r>
              <w:rPr/>
              <w:t>Fee Rate</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989" w:type="dxa"/>
            <w:tcBorders>
              <w:right w:val="single" w:sz="2" w:space="0" w:color="000000"/>
            </w:tcBorders>
            <w:shd w:fill="auto" w:val="clear"/>
            <w:tcMar>
              <w:right w:w="40" w:type="dxa"/>
            </w:tcMar>
            <w:vAlign w:val="bottom"/>
          </w:tcPr>
          <w:p>
            <w:pPr>
              <w:pStyle w:val="TableContents"/>
              <w:spacing w:before="0" w:after="0"/>
              <w:jc w:val="center"/>
              <w:rPr>
                <w:rFonts w:ascii="Times New Roman" w:hAnsi="Times New Roman"/>
                <w:sz w:val="14"/>
              </w:rPr>
            </w:pPr>
            <w:r>
              <w:rPr>
                <w:rFonts w:ascii="Times New Roman" w:hAnsi="Times New Roman"/>
                <w:sz w:val="14"/>
              </w:rPr>
              <w:t>Amount of</w:t>
            </w:r>
          </w:p>
          <w:p>
            <w:pPr>
              <w:pStyle w:val="TableContents"/>
              <w:spacing w:before="0" w:after="0"/>
              <w:jc w:val="center"/>
              <w:rPr>
                <w:rFonts w:ascii="Times New Roman" w:hAnsi="Times New Roman"/>
                <w:sz w:val="14"/>
              </w:rPr>
            </w:pPr>
            <w:r>
              <w:rPr>
                <w:rFonts w:ascii="Times New Roman" w:hAnsi="Times New Roman"/>
                <w:sz w:val="14"/>
              </w:rPr>
              <w:t>Registration</w:t>
            </w:r>
          </w:p>
          <w:p>
            <w:pPr>
              <w:pStyle w:val="TableContents"/>
              <w:spacing w:before="0" w:after="20"/>
              <w:jc w:val="center"/>
              <w:rPr>
                <w:rFonts w:ascii="Times New Roman" w:hAnsi="Times New Roman"/>
                <w:sz w:val="14"/>
              </w:rPr>
            </w:pPr>
            <w:r>
              <w:rPr>
                <w:rFonts w:ascii="Times New Roman" w:hAnsi="Times New Roman"/>
                <w:sz w:val="14"/>
              </w:rPr>
              <w:t>Fee</w:t>
            </w:r>
          </w:p>
        </w:tc>
      </w:tr>
      <w:tr>
        <w:trPr>
          <w:trHeight w:val="15" w:hRule="atLeast"/>
        </w:trPr>
        <w:tc>
          <w:tcPr>
            <w:tcW w:w="45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14"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38"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61"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2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04"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42"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50" w:type="dxa"/>
            <w:tcBorders>
              <w:left w:val="single" w:sz="2" w:space="0" w:color="000000"/>
            </w:tcBorders>
            <w:shd w:fill="auto" w:val="clear"/>
            <w:tcMar>
              <w:left w:w="160" w:type="dxa"/>
            </w:tcMar>
          </w:tcPr>
          <w:p>
            <w:pPr>
              <w:pStyle w:val="TableContents"/>
              <w:spacing w:before="0" w:after="0"/>
              <w:jc w:val="center"/>
              <w:rPr>
                <w:rFonts w:ascii="Times New Roman" w:hAnsi="Times New Roman"/>
                <w:sz w:val="20"/>
              </w:rPr>
            </w:pPr>
            <w:r>
              <w:rPr>
                <w:rFonts w:ascii="Times New Roman" w:hAnsi="Times New Roman"/>
                <w:sz w:val="20"/>
              </w:rPr>
              <w:t>Fees to Be</w:t>
            </w:r>
          </w:p>
          <w:p>
            <w:pPr>
              <w:pStyle w:val="TableContents"/>
              <w:spacing w:before="0" w:after="20"/>
              <w:jc w:val="center"/>
              <w:rPr>
                <w:rFonts w:ascii="Times New Roman" w:hAnsi="Times New Roman"/>
                <w:sz w:val="20"/>
              </w:rPr>
            </w:pPr>
            <w:r>
              <w:rPr>
                <w:rFonts w:ascii="Times New Roman" w:hAnsi="Times New Roman"/>
                <w:sz w:val="20"/>
              </w:rPr>
              <w:t>Paid</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center"/>
              <w:rPr/>
            </w:pPr>
            <w:r>
              <w:rPr/>
              <w:t>Equity</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776"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Common stock,</w:t>
            </w:r>
          </w:p>
          <w:p>
            <w:pPr>
              <w:pStyle w:val="TableContents"/>
              <w:spacing w:before="0" w:after="0"/>
              <w:jc w:val="center"/>
              <w:rPr>
                <w:rFonts w:ascii="Times New Roman" w:hAnsi="Times New Roman"/>
                <w:sz w:val="20"/>
              </w:rPr>
            </w:pPr>
            <w:r>
              <w:rPr>
                <w:rFonts w:ascii="Times New Roman" w:hAnsi="Times New Roman"/>
                <w:sz w:val="20"/>
              </w:rPr>
              <w:t>par value $0.0001</w:t>
            </w:r>
          </w:p>
          <w:p>
            <w:pPr>
              <w:pStyle w:val="TableContents"/>
              <w:spacing w:before="0" w:after="20"/>
              <w:jc w:val="center"/>
              <w:rPr>
                <w:rFonts w:ascii="Times New Roman" w:hAnsi="Times New Roman"/>
                <w:sz w:val="20"/>
              </w:rPr>
            </w:pPr>
            <w:r>
              <w:rPr>
                <w:rFonts w:ascii="Times New Roman" w:hAnsi="Times New Roman"/>
                <w:sz w:val="20"/>
              </w:rPr>
              <w:t>per share</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center"/>
              <w:rPr/>
            </w:pPr>
            <w:r>
              <w:rPr/>
              <w:t>Other</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064" w:type="dxa"/>
            <w:tcBorders/>
            <w:shd w:fill="auto" w:val="clear"/>
            <w:vAlign w:val="bottom"/>
          </w:tcPr>
          <w:p>
            <w:pPr>
              <w:pStyle w:val="TableContents"/>
              <w:spacing w:before="0" w:after="283"/>
              <w:jc w:val="center"/>
              <w:rPr/>
            </w:pPr>
            <w:r>
              <w:rPr/>
              <w:t>4,220,995(2)</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642" w:type="dxa"/>
            <w:tcBorders/>
            <w:shd w:fill="auto" w:val="clear"/>
            <w:vAlign w:val="bottom"/>
          </w:tcPr>
          <w:p>
            <w:pPr>
              <w:pStyle w:val="TableContents"/>
              <w:spacing w:before="0" w:after="283"/>
              <w:jc w:val="center"/>
              <w:rPr/>
            </w:pPr>
            <w:r>
              <w:rPr/>
              <w:t>$5.34(3)</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524" w:type="dxa"/>
            <w:tcBorders/>
            <w:shd w:fill="auto" w:val="clear"/>
            <w:vAlign w:val="bottom"/>
          </w:tcPr>
          <w:p>
            <w:pPr>
              <w:pStyle w:val="TableContents"/>
              <w:spacing w:before="0" w:after="283"/>
              <w:jc w:val="center"/>
              <w:rPr/>
            </w:pPr>
            <w:r>
              <w:rPr/>
              <w:t>$22,550,665.79</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center"/>
              <w:rPr/>
            </w:pPr>
            <w:r>
              <w:rPr/>
              <w:t>$0.00011020</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989" w:type="dxa"/>
            <w:tcBorders>
              <w:right w:val="single" w:sz="2" w:space="0" w:color="000000"/>
            </w:tcBorders>
            <w:shd w:fill="auto" w:val="clear"/>
            <w:tcMar>
              <w:right w:w="40" w:type="dxa"/>
            </w:tcMar>
            <w:vAlign w:val="bottom"/>
          </w:tcPr>
          <w:p>
            <w:pPr>
              <w:pStyle w:val="TableContents"/>
              <w:spacing w:before="0" w:after="283"/>
              <w:jc w:val="center"/>
              <w:rPr/>
            </w:pPr>
            <w:r>
              <w:rPr/>
              <w:t>$2,485.09</w:t>
            </w:r>
          </w:p>
        </w:tc>
      </w:tr>
      <w:tr>
        <w:trPr>
          <w:trHeight w:val="15" w:hRule="atLeast"/>
        </w:trPr>
        <w:tc>
          <w:tcPr>
            <w:tcW w:w="45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3439"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04"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42"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50" w:type="dxa"/>
            <w:tcBorders>
              <w:left w:val="single" w:sz="2" w:space="0" w:color="000000"/>
            </w:tcBorders>
            <w:shd w:fill="auto" w:val="clear"/>
            <w:tcMar>
              <w:left w:w="160" w:type="dxa"/>
            </w:tcMar>
          </w:tcPr>
          <w:p>
            <w:pPr>
              <w:pStyle w:val="TableContents"/>
              <w:spacing w:before="0" w:after="283"/>
              <w:rPr/>
            </w:pPr>
            <w:r>
              <w:rPr/>
              <w:t> </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3377" w:type="dxa"/>
            <w:gridSpan w:val="7"/>
            <w:tcBorders/>
            <w:shd w:fill="auto" w:val="clear"/>
            <w:vAlign w:val="bottom"/>
          </w:tcPr>
          <w:p>
            <w:pPr>
              <w:pStyle w:val="TableContents"/>
              <w:spacing w:before="0" w:after="283"/>
              <w:jc w:val="center"/>
              <w:rPr/>
            </w:pPr>
            <w:r>
              <w:rPr/>
              <w:t>Total Offering Amounts</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sz w:val="4"/>
                <w:szCs w:val="4"/>
              </w:rPr>
            </w:pPr>
            <w:r>
              <w:rPr>
                <w:sz w:val="4"/>
                <w:szCs w:val="4"/>
              </w:rPr>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524" w:type="dxa"/>
            <w:tcBorders/>
            <w:shd w:fill="auto" w:val="clear"/>
            <w:vAlign w:val="bottom"/>
          </w:tcPr>
          <w:p>
            <w:pPr>
              <w:pStyle w:val="TableContents"/>
              <w:spacing w:before="0" w:after="283"/>
              <w:jc w:val="center"/>
              <w:rPr/>
            </w:pPr>
            <w:r>
              <w:rPr/>
              <w:t>$22,550,665.79</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sz w:val="4"/>
                <w:szCs w:val="4"/>
              </w:rPr>
            </w:pPr>
            <w:r>
              <w:rPr>
                <w:sz w:val="4"/>
                <w:szCs w:val="4"/>
              </w:rPr>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989" w:type="dxa"/>
            <w:tcBorders>
              <w:right w:val="single" w:sz="2" w:space="0" w:color="000000"/>
            </w:tcBorders>
            <w:shd w:fill="auto" w:val="clear"/>
            <w:tcMar>
              <w:right w:w="40" w:type="dxa"/>
            </w:tcMar>
            <w:vAlign w:val="bottom"/>
          </w:tcPr>
          <w:p>
            <w:pPr>
              <w:pStyle w:val="TableContents"/>
              <w:spacing w:before="0" w:after="283"/>
              <w:jc w:val="center"/>
              <w:rPr/>
            </w:pPr>
            <w:r>
              <w:rPr/>
              <w:t>$2,485.09</w:t>
            </w:r>
          </w:p>
        </w:tc>
      </w:tr>
      <w:tr>
        <w:trPr>
          <w:trHeight w:val="15" w:hRule="atLeast"/>
        </w:trPr>
        <w:tc>
          <w:tcPr>
            <w:tcW w:w="45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3439"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04"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42"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50" w:type="dxa"/>
            <w:tcBorders>
              <w:left w:val="single" w:sz="2" w:space="0" w:color="000000"/>
            </w:tcBorders>
            <w:shd w:fill="auto" w:val="clear"/>
            <w:tcMar>
              <w:left w:w="160" w:type="dxa"/>
            </w:tcMar>
          </w:tcPr>
          <w:p>
            <w:pPr>
              <w:pStyle w:val="TableContents"/>
              <w:spacing w:before="0" w:after="283"/>
              <w:rPr/>
            </w:pPr>
            <w:r>
              <w:rPr/>
              <w:t> </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3377" w:type="dxa"/>
            <w:gridSpan w:val="7"/>
            <w:tcBorders/>
            <w:shd w:fill="auto" w:val="clear"/>
            <w:vAlign w:val="bottom"/>
          </w:tcPr>
          <w:p>
            <w:pPr>
              <w:pStyle w:val="TableContents"/>
              <w:spacing w:before="0" w:after="283"/>
              <w:jc w:val="center"/>
              <w:rPr/>
            </w:pPr>
            <w:r>
              <w:rPr/>
              <w:t>Total Fee Offsets</w:t>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sz w:val="4"/>
                <w:szCs w:val="4"/>
              </w:rPr>
            </w:pPr>
            <w:r>
              <w:rPr>
                <w:sz w:val="4"/>
                <w:szCs w:val="4"/>
              </w:rPr>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524" w:type="dxa"/>
            <w:tcBorders/>
            <w:shd w:fill="auto" w:val="clear"/>
            <w:vAlign w:val="bottom"/>
          </w:tcPr>
          <w:p>
            <w:pPr>
              <w:pStyle w:val="TableContents"/>
              <w:spacing w:before="0" w:after="283"/>
              <w:rPr>
                <w:sz w:val="4"/>
                <w:szCs w:val="4"/>
              </w:rPr>
            </w:pPr>
            <w:r>
              <w:rPr>
                <w:sz w:val="4"/>
                <w:szCs w:val="4"/>
              </w:rPr>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sz w:val="4"/>
                <w:szCs w:val="4"/>
              </w:rPr>
            </w:pPr>
            <w:r>
              <w:rPr>
                <w:sz w:val="4"/>
                <w:szCs w:val="4"/>
              </w:rPr>
            </w:r>
          </w:p>
        </w:tc>
        <w:tc>
          <w:tcPr>
            <w:tcW w:w="62" w:type="dxa"/>
            <w:tcBorders>
              <w:left w:val="single" w:sz="2" w:space="0" w:color="000000"/>
            </w:tcBorders>
            <w:shd w:fill="auto" w:val="clear"/>
            <w:tcMar>
              <w:left w:w="28" w:type="dxa"/>
            </w:tcMar>
            <w:vAlign w:val="bottom"/>
          </w:tcPr>
          <w:p>
            <w:pPr>
              <w:pStyle w:val="TableContents"/>
              <w:spacing w:before="0" w:after="283"/>
              <w:rPr/>
            </w:pPr>
            <w:r>
              <w:rPr/>
              <w:t> </w:t>
            </w:r>
          </w:p>
        </w:tc>
        <w:tc>
          <w:tcPr>
            <w:tcW w:w="989"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45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3439"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04"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6"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42"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45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p>
        </w:tc>
        <w:tc>
          <w:tcPr>
            <w:tcW w:w="6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377" w:type="dxa"/>
            <w:gridSpan w:val="7"/>
            <w:tcBorders>
              <w:bottom w:val="single" w:sz="2" w:space="0" w:color="000000"/>
            </w:tcBorders>
            <w:shd w:fill="auto" w:val="clear"/>
            <w:tcMar>
              <w:bottom w:w="28" w:type="dxa"/>
            </w:tcMar>
            <w:vAlign w:val="bottom"/>
          </w:tcPr>
          <w:p>
            <w:pPr>
              <w:pStyle w:val="TableContents"/>
              <w:spacing w:before="0" w:after="283"/>
              <w:jc w:val="center"/>
              <w:rPr/>
            </w:pPr>
            <w:r>
              <w:rPr/>
              <w:t>Net Fee Due</w:t>
            </w:r>
          </w:p>
        </w:tc>
        <w:tc>
          <w:tcPr>
            <w:tcW w:w="6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42" w:type="dxa"/>
            <w:tcBorders>
              <w:bottom w:val="single" w:sz="2" w:space="0" w:color="000000"/>
            </w:tcBorders>
            <w:shd w:fill="auto" w:val="clear"/>
            <w:tcMar>
              <w:bottom w:w="28" w:type="dxa"/>
            </w:tcMar>
            <w:vAlign w:val="bottom"/>
          </w:tcPr>
          <w:p>
            <w:pPr>
              <w:pStyle w:val="TableContents"/>
              <w:spacing w:before="0" w:after="283"/>
              <w:rPr/>
            </w:pPr>
            <w:r>
              <w:rPr/>
              <w:t> </w:t>
            </w:r>
          </w:p>
        </w:tc>
        <w:tc>
          <w:tcPr>
            <w:tcW w:w="6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4" w:type="dxa"/>
            <w:tcBorders>
              <w:bottom w:val="single" w:sz="2" w:space="0" w:color="000000"/>
            </w:tcBorders>
            <w:shd w:fill="auto" w:val="clear"/>
            <w:tcMar>
              <w:bottom w:w="28" w:type="dxa"/>
            </w:tcMar>
            <w:vAlign w:val="bottom"/>
          </w:tcPr>
          <w:p>
            <w:pPr>
              <w:pStyle w:val="TableContents"/>
              <w:spacing w:before="0" w:after="283"/>
              <w:rPr/>
            </w:pPr>
            <w:r>
              <w:rPr/>
              <w:t> </w:t>
            </w:r>
          </w:p>
        </w:tc>
        <w:tc>
          <w:tcPr>
            <w:tcW w:w="6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80" w:type="dxa"/>
            <w:tcBorders>
              <w:bottom w:val="single" w:sz="2" w:space="0" w:color="000000"/>
            </w:tcBorders>
            <w:shd w:fill="auto" w:val="clear"/>
            <w:tcMar>
              <w:bottom w:w="28" w:type="dxa"/>
            </w:tcMar>
            <w:vAlign w:val="bottom"/>
          </w:tcPr>
          <w:p>
            <w:pPr>
              <w:pStyle w:val="TableContents"/>
              <w:spacing w:before="0" w:after="283"/>
              <w:rPr/>
            </w:pPr>
            <w:r>
              <w:rPr/>
              <w:t> </w:t>
            </w:r>
          </w:p>
        </w:tc>
        <w:tc>
          <w:tcPr>
            <w:tcW w:w="6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89"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$2,485.09</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shares of common stock will be offered for resale by the selling stockholders pursuant to the prospectus contained herein. Pursuant to Rule 416 under the Securities Act of 1933, as amended (the Securities Act), this registration statement also covers any additional number of shares of common stock issuable upon stock splits, stock dividends, or other distribution, recapitalization or similar events with respect to the shares of common stock being registered pursuant to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registration statement registers the resale of (i) 3,946,540 outstanding shares of common stock of the Registrant held by the selling stockholders and (ii) 274,455 shares of common stock of the Registrant issuable upon the exercise of outstanding warrants to purchase shares of common stock held by the selling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the purposes of calculating the registration fee pursuant to Rule 457(c) under the Securities Act, based on the average of the high and low price per share of the Registrants common stock as reported by the Nasdaq Global Market on March 29, 2023.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34133/000119312523060023/d424298ddefa14a.htm" TargetMode="External"/><Relationship Id="rId4" Type="http://schemas.openxmlformats.org/officeDocument/2006/relationships/hyperlink" Target="http://www.sec.gov/Archives/edgar/data/../../../ix?doc=/Archives/edgar/data/1534133/000095017023006795/gray-20221231.htm" TargetMode="External"/><Relationship Id="rId5" Type="http://schemas.openxmlformats.org/officeDocument/2006/relationships/hyperlink" Target="http://www.sec.gov/Archives/edgar/data/../../../ix?doc=/Archives/edgar/data/1534133/000119312523090842/d471553d10ka.htm" TargetMode="External"/><Relationship Id="rId6" Type="http://schemas.openxmlformats.org/officeDocument/2006/relationships/hyperlink" Target="http://www.sec.gov/Archives/edgar/data/../../../ix?doc=/Archives/edgar/data/1534133/000119312523030003/d424959d8k.htm" TargetMode="External"/><Relationship Id="rId7" Type="http://schemas.openxmlformats.org/officeDocument/2006/relationships/hyperlink" Target="http://www.sec.gov/Archives/edgar/data/../../../ix?doc=/Archives/edgar/data/1534133/000119312523041092/d461698d8k.htm" TargetMode="External"/><Relationship Id="rId8" Type="http://schemas.openxmlformats.org/officeDocument/2006/relationships/hyperlink" Target="http://www.sec.gov/Archives/edgar/data/../../../ix?doc=/Archives/edgar/data/1534133/000119312523059999/d424298d8k.htm" TargetMode="External"/><Relationship Id="rId9" Type="http://schemas.openxmlformats.org/officeDocument/2006/relationships/hyperlink" Target="http://www.sec.gov/Archives/edgar/data/../../../ix?doc=/Archives/edgar/data/1534133/000119312523071452/d481564d8k.htm" TargetMode="External"/><Relationship Id="rId10" Type="http://schemas.openxmlformats.org/officeDocument/2006/relationships/hyperlink" Target="http://www.sec.gov/Archives/edgar/data/../../../ix?doc=/Archives/edgar/data/1534133/000119312523076714/d485425d8k.htm" TargetMode="External"/><Relationship Id="rId11" Type="http://schemas.openxmlformats.org/officeDocument/2006/relationships/hyperlink" Target="http://www.sec.gov/Archives/edgar/data/../../../ix?doc=/Archives/edgar/data/1534133/000119312523090853/d471673d8ka.htm" TargetMode="External"/><Relationship Id="rId12" Type="http://schemas.openxmlformats.org/officeDocument/2006/relationships/hyperlink" Target="http://www.sec.gov/Archives/edgar/data/1534133/000119312520249563/d99492d8a12b.htm" TargetMode="External"/><Relationship Id="rId13" Type="http://schemas.openxmlformats.org/officeDocument/2006/relationships/hyperlink" Target="http://www.sec.gov/Archives/edgar/data/1534133/000119312523076714/d485425dex21.htm" TargetMode="External"/><Relationship Id="rId14" Type="http://schemas.openxmlformats.org/officeDocument/2006/relationships/hyperlink" Target="http://www.sec.gov/Archives/edgar/data/1534133/000119312523076714/d485425dex31.htm" TargetMode="External"/><Relationship Id="rId15" Type="http://schemas.openxmlformats.org/officeDocument/2006/relationships/hyperlink" Target="http://www.sec.gov/Archives/edgar/data/1534133/000119312523076714/d485425dex32.htm" TargetMode="External"/><Relationship Id="rId16" Type="http://schemas.openxmlformats.org/officeDocument/2006/relationships/hyperlink" Target="http://www.sec.gov/Archives/edgar/data/1534133/000156459020053539/gray-ex32_105.htm" TargetMode="External"/><Relationship Id="rId17" Type="http://schemas.openxmlformats.org/officeDocument/2006/relationships/hyperlink" Target="http://www.sec.gov/Archives/edgar/data/1534133/000119312520249556/d796801dex41.htm" TargetMode="External"/><Relationship Id="rId18" Type="http://schemas.openxmlformats.org/officeDocument/2006/relationships/hyperlink" Target="http://www.sec.gov/Archives/edgar/data/1534133/000119312523076714/d485425dex41.htm" TargetMode="External"/><Relationship Id="rId19" Type="http://schemas.openxmlformats.org/officeDocument/2006/relationships/hyperlink" Target="http://www.sec.gov/Archives/edgar/data/1534133/000119312523076714/d485425dex42.htm" TargetMode="External"/><Relationship Id="rId20" Type="http://schemas.openxmlformats.org/officeDocument/2006/relationships/hyperlink" Target="http://www.sec.gov/Archives/edgar/data/1534133/000119312523076714/d485425dex43.htm" TargetMode="External"/><Relationship Id="rId21" Type="http://schemas.openxmlformats.org/officeDocument/2006/relationships/hyperlink" Target="http://www.sec.gov/Archives/edgar/data/1534133/000119312523076714/d485425dex44.htm" TargetMode="External"/><Relationship Id="rId22" Type="http://schemas.openxmlformats.org/officeDocument/2006/relationships/hyperlink" Target="http://www.sec.gov/Archives/edgar/data/1534133/000119312523076714/d485425dex45.htm" TargetMode="External"/><Relationship Id="rId23" Type="http://schemas.openxmlformats.org/officeDocument/2006/relationships/hyperlink" Target="http://www.sec.gov/Archives/edgar/data/1534133/000119312523076714/d485425dex46.htm" TargetMode="External"/><Relationship Id="rId24" Type="http://schemas.openxmlformats.org/officeDocument/2006/relationships/image" Target="media/image2.jpeg"/><Relationship Id="rId25" Type="http://schemas.openxmlformats.org/officeDocument/2006/relationships/image" Target="media/image3.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49</Pages>
  <Words>22893</Words>
  <CharactersWithSpaces>142122</CharactersWithSpaces>
  <Paragraphs>2428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