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32.xml.htm"/>
      <w:bookmarkStart w:id="1" w:name="ksform408212026_10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Leheny A.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BLVD. S. #307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12/25/2027</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06/25/2031</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August 19, 2026, and on or prior to the earlier of (i) December 25, 2027 and (ii) thirty (30) days following the Issuer's public disclosure of the clearance of its Investigational New Drug Application by the U.S. Food and Drug Administration for CM5480; provided, however, that the warrant may not be exercised if the aggregate number of shares of Common Stock beneficially owned by the holder thereof immediately following such exercise would exceed a specified beneficial ownership limitation, not to exceed 19.99%.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 may be exercised on or after August 19, 2026, and on or prior to June 25, 2031; provided, however, that the warrant may not be exercised if the aggregate number of shares of Common Stock beneficially owned by the holder thereof immediately following such exercise would exceed a specified beneficial ownership limitation, not to exceed 19.99%.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4729"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4245</Characters>
  <CharactersWithSpaces>4942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