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9379ds3.htm"/>
        <w:bookmarkStart w:id="1" w:name="ksd169379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July 24,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CALCIMEDICA,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45-2120079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505 Coast Boulevard South, Suite 300-9 </w:t>
      </w:r>
    </w:p>
    <w:p>
      <w:pPr>
        <w:pStyle w:val="TextBody"/>
        <w:bidi w:val="0"/>
        <w:spacing w:before="0" w:after="0"/>
        <w:jc w:val="center"/>
        <w:rPr>
          <w:rFonts w:ascii="Times New Roman" w:hAnsi="Times New Roman"/>
          <w:b/>
          <w:sz w:val="18"/>
        </w:rPr>
      </w:pPr>
      <w:r>
        <w:rPr>
          <w:rFonts w:ascii="Times New Roman" w:hAnsi="Times New Roman"/>
          <w:b/>
          <w:sz w:val="18"/>
        </w:rPr>
        <w:t xml:space="preserve">La Jolla, CA 92037 </w:t>
      </w:r>
    </w:p>
    <w:p>
      <w:pPr>
        <w:pStyle w:val="TextBody"/>
        <w:bidi w:val="0"/>
        <w:spacing w:before="0" w:after="0"/>
        <w:jc w:val="center"/>
        <w:rPr>
          <w:rFonts w:ascii="Times New Roman" w:hAnsi="Times New Roman"/>
          <w:b/>
          <w:sz w:val="18"/>
        </w:rPr>
      </w:pPr>
      <w:r>
        <w:rPr>
          <w:rFonts w:ascii="Times New Roman" w:hAnsi="Times New Roman"/>
          <w:b/>
          <w:sz w:val="18"/>
        </w:rPr>
        <w:t xml:space="preserve">(858) 952-5500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A. Rachel Leheny, Ph.D.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CalciMedica, Inc. </w:t>
      </w:r>
    </w:p>
    <w:p>
      <w:pPr>
        <w:pStyle w:val="TextBody"/>
        <w:bidi w:val="0"/>
        <w:spacing w:before="0" w:after="0"/>
        <w:jc w:val="center"/>
        <w:rPr>
          <w:rFonts w:ascii="Times New Roman" w:hAnsi="Times New Roman"/>
          <w:b/>
          <w:sz w:val="18"/>
        </w:rPr>
      </w:pPr>
      <w:r>
        <w:rPr>
          <w:rFonts w:ascii="Times New Roman" w:hAnsi="Times New Roman"/>
          <w:b/>
          <w:sz w:val="18"/>
        </w:rPr>
        <w:t xml:space="preserve">505 Coast Boulevard South, Suite 300-9 </w:t>
      </w:r>
    </w:p>
    <w:p>
      <w:pPr>
        <w:pStyle w:val="TextBody"/>
        <w:bidi w:val="0"/>
        <w:spacing w:before="0" w:after="0"/>
        <w:jc w:val="center"/>
        <w:rPr>
          <w:rFonts w:ascii="Times New Roman" w:hAnsi="Times New Roman"/>
          <w:b/>
          <w:sz w:val="18"/>
        </w:rPr>
      </w:pPr>
      <w:r>
        <w:rPr>
          <w:rFonts w:ascii="Times New Roman" w:hAnsi="Times New Roman"/>
          <w:b/>
          <w:sz w:val="18"/>
        </w:rPr>
        <w:t xml:space="preserve">La Jolla, CA 92037 </w:t>
      </w:r>
    </w:p>
    <w:p>
      <w:pPr>
        <w:pStyle w:val="TextBody"/>
        <w:bidi w:val="0"/>
        <w:spacing w:before="0" w:after="0"/>
        <w:jc w:val="center"/>
        <w:rPr>
          <w:rFonts w:ascii="Times New Roman" w:hAnsi="Times New Roman"/>
          <w:b/>
          <w:sz w:val="18"/>
        </w:rPr>
      </w:pPr>
      <w:r>
        <w:rPr>
          <w:rFonts w:ascii="Times New Roman" w:hAnsi="Times New Roman"/>
          <w:b/>
          <w:sz w:val="18"/>
        </w:rPr>
        <w:t xml:space="preserve">(858) 952-5500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Thomas A. Coll, Esq. </w:t>
      </w:r>
    </w:p>
    <w:p>
      <w:pPr>
        <w:pStyle w:val="TextBody"/>
        <w:bidi w:val="0"/>
        <w:spacing w:before="0" w:after="0"/>
        <w:jc w:val="center"/>
        <w:rPr>
          <w:rFonts w:ascii="Times New Roman" w:hAnsi="Times New Roman"/>
          <w:b/>
          <w:sz w:val="18"/>
        </w:rPr>
      </w:pPr>
      <w:r>
        <w:rPr>
          <w:rFonts w:ascii="Times New Roman" w:hAnsi="Times New Roman"/>
          <w:b/>
          <w:sz w:val="18"/>
        </w:rPr>
        <w:t xml:space="preserve">Carlos Ramirez, Esq. </w:t>
      </w:r>
    </w:p>
    <w:p>
      <w:pPr>
        <w:pStyle w:val="TextBody"/>
        <w:bidi w:val="0"/>
        <w:spacing w:before="0" w:after="0"/>
        <w:jc w:val="center"/>
        <w:rPr>
          <w:rFonts w:ascii="Times New Roman" w:hAnsi="Times New Roman"/>
          <w:b/>
          <w:sz w:val="18"/>
        </w:rPr>
      </w:pPr>
      <w:r>
        <w:rPr>
          <w:rFonts w:ascii="Times New Roman" w:hAnsi="Times New Roman"/>
          <w:b/>
          <w:sz w:val="18"/>
        </w:rPr>
        <w:t xml:space="preserve">Cooley LLP </w:t>
      </w:r>
    </w:p>
    <w:p>
      <w:pPr>
        <w:pStyle w:val="TextBody"/>
        <w:bidi w:val="0"/>
        <w:spacing w:before="0" w:after="0"/>
        <w:jc w:val="center"/>
        <w:rPr>
          <w:rFonts w:ascii="Times New Roman" w:hAnsi="Times New Roman"/>
          <w:b/>
          <w:sz w:val="18"/>
        </w:rPr>
      </w:pPr>
      <w:r>
        <w:rPr>
          <w:rFonts w:ascii="Times New Roman" w:hAnsi="Times New Roman"/>
          <w:b/>
          <w:sz w:val="18"/>
        </w:rPr>
        <w:t xml:space="preserve">10265 Science Center Drive </w:t>
      </w:r>
    </w:p>
    <w:p>
      <w:pPr>
        <w:pStyle w:val="TextBody"/>
        <w:bidi w:val="0"/>
        <w:spacing w:before="0" w:after="0"/>
        <w:jc w:val="center"/>
        <w:rPr>
          <w:rFonts w:ascii="Times New Roman" w:hAnsi="Times New Roman"/>
          <w:b/>
          <w:sz w:val="18"/>
        </w:rPr>
      </w:pPr>
      <w:r>
        <w:rPr>
          <w:rFonts w:ascii="Times New Roman" w:hAnsi="Times New Roman"/>
          <w:b/>
          <w:sz w:val="18"/>
        </w:rPr>
        <w:t xml:space="preserve">San Diego, CA 92121 </w:t>
      </w:r>
    </w:p>
    <w:p>
      <w:pPr>
        <w:pStyle w:val="TextBody"/>
        <w:bidi w:val="0"/>
        <w:spacing w:before="0" w:after="0"/>
        <w:jc w:val="center"/>
        <w:rPr>
          <w:rFonts w:ascii="Times New Roman" w:hAnsi="Times New Roman"/>
          <w:b/>
          <w:sz w:val="18"/>
        </w:rPr>
      </w:pPr>
      <w:r>
        <w:rPr>
          <w:rFonts w:ascii="Times New Roman" w:hAnsi="Times New Roman"/>
          <w:b/>
          <w:sz w:val="18"/>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From time to time after the effective date of this Registration Statement. </w:t>
      </w:r>
    </w:p>
    <w:p>
      <w:pPr>
        <w:pStyle w:val="TextBody"/>
        <w:bidi w:val="0"/>
        <w:spacing w:before="0" w:after="0"/>
        <w:jc w:val="center"/>
        <w:rPr>
          <w:rFonts w:ascii="Times New Roman" w:hAnsi="Times New Roman"/>
          <w:sz w:val="18"/>
        </w:rPr>
      </w:pPr>
      <w:r>
        <w:rPr>
          <w:rFonts w:ascii="Times New Roman" w:hAnsi="Times New Roman"/>
          <w:sz w:val="18"/>
        </w:rPr>
        <w:t xml:space="preserve">(Approximate date of commencement of proposed sale to the public)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6"/>
        <w:gridCol w:w="104"/>
        <w:gridCol w:w="4834"/>
        <w:gridCol w:w="133"/>
        <w:gridCol w:w="2607"/>
        <w:gridCol w:w="104"/>
        <w:gridCol w:w="267"/>
      </w:tblGrid>
      <w:tr>
        <w:trPr/>
        <w:tc>
          <w:tcPr>
            <w:tcW w:w="21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24,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121025" cy="6369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1025" cy="63690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56,020,287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covers the offer and resale by the selling stockholders identified in this prospectus of up to an aggregate of 56,020,287 shares of our common stock, par value $0.0001 per share (“common stock”), which consists of (i) 14,938,370 shares of our common stock, (ii) 3,735,059 shares of our common stock issuable upon the exercise of pre-funded warrants (the “Pre-Funded Warrants”) to purchase shares of our common stock, (iii) 18,673,429 shares of our common stock issuable upon the exercise of Series A common warrants (the “Series A Warrants”) to purchase shares of our common stock (or Pre-Funded Warrants in lieu thereof and, in such case, shares of our common stock issuable upon exercise of such Pre-Funded Warrants); and (iv) 18,673,429 shares of our common stock issuable upon the exercise of Series B common warrants (the “Series B Warrants” and together with the Series A Warrants, the “Warrants”) to purchase shares of our common stock (or Pre-Funded Warrants in lieu thereof and, in such case, shares of our common stock issuable upon exercise of such Pre-Funded Warrants), all of which were or will be issued by us in a private placement transaction (the “Private Placement”) pursuant to that certain Securities Purchase Agreement, dated as of June 23, 2026, by and among us and the purchasers named therein.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not selling any shares of common stock under this prospectus and will not receive any proceeds from the sale by the selling stockholders of such shares. We will, however, receive the net proceeds of any warrants exercised for cash.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Sales of the shares by the selling stockholders may occur at fixed prices, at market prices prevailing at the time of sale, at prices related to prevailing market prices or at negotiated prices. The selling stockholders may sell shares to or through underwriters, broker-dealers or agents, who may receive compensation in the form of discounts, concessions or commissions from the selling stockholders, the purchasers of the shares, or both.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paying the cost of registering the shares of common stock covered by this prospectus as well as various related expenses. The selling stockholders are responsible for all broker or similar commissions related to the offer and sale of their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under the trading symbol “CALC.” On July 23, 2026, the last reported sale price of our common stock was $0.7159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a high degree of risk. You should review carefully the risks and uncertainties described under the heading “</w:t>
      </w:r>
      <w:hyperlink w:anchor="rom169379_4">
        <w:r>
          <w:rPr>
            <w:rStyle w:val="InternetLink"/>
            <w:rFonts w:ascii="Times New Roman" w:hAnsi="Times New Roman"/>
            <w:b/>
            <w:sz w:val="24"/>
          </w:rPr>
          <w:t>Risk Factors</w:t>
        </w:r>
      </w:hyperlink>
      <w:r>
        <w:rPr>
          <w:rFonts w:ascii="Times New Roman" w:hAnsi="Times New Roman"/>
          <w:b/>
          <w:sz w:val="24"/>
        </w:rPr>
        <w:t xml:space="preserve">” on page 7 of this prospectus and any similar section contained in any amendment or supplement to this prospectus and under similar headings in the documents that are incorporated by reference into this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rom16937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69379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16937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Under this registration statement, the selling stockholders may, from time to time, sell in one or more offerings the common stock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16937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or free writing prospectus, including the documents we have filed with the SEC that are incorporated by reference herein and therein, contain “forward-looking statements” within the meaning of Section 27A of the Securities Act of 1933, as amended, (the “Securities Act”) and Section 21E of the Securities Exchange Act of 1934, as amended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discuss many of these risks in greater detail under “Risk Factors” in this prospectus, in the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16937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and does not contain all of the information that you need to consider in making your investment decision. For a more complete understanding of our company, you should carefully read and consider the more detailed information included or incorporated by reference in this prospectus and, any applicable prospectus supplement and any related free writing prospectus, including the risks of investing in our securities discussed under the heading “Risk Factors” on page 7 of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the context requires otherwise, references in this prospectus to “CalciMedica,” “we,” “us,” “the Company” and “our” refer to CalciMedica,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developing novel calcium release-activated calcium (“CRAC”) channel inhibition therapies for serious inflammatory, immunologic, and cardiopulmonary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includes Auxora, a potent and selective small-molecule CRAC channel inhibitor formulated for intravenous administration whose active compound is zegocractin (formerly CM4620), and CM5480, a proprietary, selective oral small-molecule CRAC channel inhibitor. Auxora has been evaluated in multiple Phase 2 clinical trials in acute and critical-care settings, including acute pancreatitis, severe COVID-19 pneumonia, pediatric asparaginase-induced pancreatic toxicity, and acute kidney injury. We expect to receive feedback from the FDA in the third quarter of 2026 regarding the design of a potential pivotal development program evaluating Auxora in acute pancreatitis. We also plan to evaluate Auxora in a Phase 1b proof-of-concept study in patients with pulmonary arterial hypertension, with data expected in mid-2027.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CM5480 is being developed as a potential chronic oral therapy for pulmonary hypertension, including pulmonary arterial hypertension and combined pre- and post-capillary pulmonary hypertension associated with heart failure with preserved ejection fraction. We expect to submit an investigational new drug application for CM5480 in mid-2027. Through our pulmonary hypertension program, we aim to establish CRAC channel inhibition as a differentiated therapeutic approach targeting both pulmonary vascular remodeling and right ventricular dysfunction.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23, 2026, we entered into a securities purchase agreement (the “Purchase Agreement”) with certain new and existing institutional and accredited investors named therein (each, an “Investor” and collectively, the “Investors”), for the private placement (the “Private Placement”) of an aggregate of 18,673,429 units (the “Units”), each Unit comprised of (i) (A) one share of our common stock, par value $0.0001 per share (“common stock”), or (B) one pre-funded warrant to purchase one share of common stock (each, a “Pre-Funded Warrant” and collectively, the “Pre-Funded Warrants” and the common stock issuable upon exercise thereof, the “Pre-Funded Warrant Shares”), and, in each case, (ii) a right to receive one Series A warrant to purchase one share of common stock or a pre-funded warrant to purchase one share of common stock (each, a “Series A Warrant” and collectively, the “Series A Warrants”) upon receipt of Stockholder Approval (as defined below), and (iii) a right to receive one Series B warrant to purchase one share of common stock or a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 purchase one share of common stock (each, a “Series B Warrant” and collectively, the “Series B Warrants”, and together with the Series A Warrants, the “Warrants”) upon receipt of Stockholder Approval (the shares of common stock issuable upon exercise of the Warrants, the “Warrant Shares”). “Stockholder Approval” means such approval as may be required by the applicable rules and regulations of The Nasdaq Capital Market from the stockholders of the Company with respect to the issuance of all of the Series A Warrants and Series B Warrants and the Warrant Shares issuable upon the exercise thereof. A Unit comprised of one share of common stock, one right to receive a Series A Warrant and one right to receive a Series B Warrant was purchased from us at a purchase price of $0.8033 (the “Common Stock Unit Purchase Price”) and a Unit comprised of one Pre-Funded Warrant, one right to receive a Series A Warrant and one right to receive a Series B Warrant was purchased from us at a purchase price of $0.8032 (the “Pre-Funded Warrant Unit Purchase Price”, and together with the Common Stock Unit Purchase Price, the “Purchase Prices”). Rachel Leheny, Ph.D., our Chief Executive Officer, a member of our board of directors (the “Board”) and a beneficial owner of more than 5% of our common stock, Eric Roberts, our Chief Business Officer, a member of the Board and a beneficial owner of more than 5% of our common stock, Sudarshan Hebbar, M.D., our Chief Medical Officer, Robert Wilson, a member of the Board, Sanderling Venture Partners VI Co-Investment Fund, L.P., a beneficial owner of more than 5% of our common stock and an affiliate of Fred Middleton, a member of the Board, Alafi Capital Company, LLC, a beneficial owner of more than 5% of our common stock, and Bering Partners II, L.P., a beneficial owner of more than 5% of our common stock, purchased an aggregate of 6,908,996 Units in the Private Placement. The Purchase Prices for each Unit, as applicable, for any Investor that is an officer, director, employee or consultant of the Company was priced above the Nasdaq Consolidated Closing Bid Price as of June 23,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Pre-Funded Warrant has an exercise price of $0.0001 per Pre-Funded Warrant Share, is immediately exercisable on the date of issuance and does not expire. If a registration statement covering the resale of the Pre-Funded Warrant Shares is not available, the Pre-Funded Warrants may also be exercisable on a net exercise “cashless”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Series A Warrants will have an exercise price equal to $0.8033 per Warrant Share, will be exercisable immediately upon issuance and will expire on the earlier of (i) December 25, 2027 and (ii) 30 days following our public announcement of the clearance of our Investigational New Drug Application by the U.S. Food and Drug Administration for CM5480 (the “Series A Expiration Date”); provided that if such date occurs prior to the date on which Stockholder Approval is obtained (the “Stockholder Approval Date”), the Series A Expiration Date shall be extended until 30 days following the Stockholder Approval Date. The Series A Warrants will be issued upon receipt of Stockholder Approval. If a registration statement covering the resale of the Warrant Shares is not available, the Series A Warrants may also be exercisable on a net exercise “cashless”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Series B Warrants will have an exercise price equal to $1.00 per Warrant Share, will be exercisable immediately upon issuance and will expire on June 25, 2031. The Series B Warrants will be issued upon receipt of Stockholder Approval. If a registration statement covering the resale of the Warrant Shares is not available, the Series B Warrants may also be exercisable on a net exercise “cashless”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Warrants and Pre-Funded Warrants may not be exercised for common stock if the aggregate number of shares of common stock beneficially owned by the holder thereof immediately following such exercise would exceed a specified beneficial ownership limitation, not to exceed 19.99%. To the extent that exercise of the Series A Warrants or Series B Warrants will result in a holder thereof beneficially owning shares of common stock above such beneficial ownership limitations, the holder may exercise its Series A Warrants or Series B Warrants for pre-funded warrants to purchase shares of common stock at an exercise price equal to the applicable exercise price per Warrant Share minus $0.0001. Such pre-funded warrants will have terms substantially similar to the Pre-Funded Warrants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closing of the Private Placement occurred on June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Purchase Agreement, we agreed to file a registration statement with the SEC within 30 days after the closing of the Private Placement (subject to certain exceptions) for purposes of registering the resale of the shares of common stock and the Warrant Shares, to use our reasonable best efforts to have such registration statement declared effective within the time period set forth in the Purchase Agreement, and to keep such registration statement effective until the earliest of (i) the time as all of the shares of common stock and Warrant Shares purchased by the Investors pursuant to the terms of the Purchase Agreement have been sold or otherwise transferred by the holder thereof pursuant to and in a manner contemplated by the registration statement, (ii) such time as such shares of common stock or Warrant Shares are sold pursuant to Rule 144 under circumstances in which any legend borne by such security relating to restrictions on transferability thereof, under the Securities Act, or otherwise, is removed by us, or (iii) such time as the shares of common stock and Warrant Shares become eligible for resale by non-affiliates without any volume limitations or other restrictions pursuant to Rule 144 under the Securities Act or any other rule of similar effect.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regarding the Private Placement, see our Current Report on Form 8-K filed with the SEC on June 24, 2026 and incorporated herein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February 2015, upon conversion of Graybug, LLC, which was organized in May 2011. On March 20, 2023, we completed a merger transaction in accordance with the terms and conditions of that certain Agreement and Plan of Merger and Reorganization, dated as of November 21, 2022, as amended on February 10, 2023, by and among us (formerly, Graybug Vision, Inc., “Graybug”), Camaro Merger Sub, Inc. (“Merger Sub”) and CalciMedica Subsidiary Inc. (formerly, CalciMedica, Inc., “Private CalciMedica”), pursuant to which Merger Sub merged with and into Private CalciMedica with Private CalciMedica surviving the merger as a wholly owned subsidiary of us (the “Merger”). In connection with the Merger, we changed our name to CalciMedica, Inc. Our principal executive offices are located at 505 Coast Boulevard South, Suite 300-9, La Jolla, CA 92037, and our telephone number is (858) 952-5500. Our corporate website address is www.calcimedica.com. Information contained on or accessible through our website is not a part of this prospectus, the accompanying prospectus or any related free writing prospectus, and the inclusion of our website address in this prospectus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including, among other things, providing only two years of audited financial statements in our Annual Report on Form 10-K, not being required to comply with the auditor attestation requirements of Section 404 of the Sarbanes-Oxley Act and having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7" w:type="dxa"/>
            <w:tcBorders/>
          </w:tcPr>
          <w:p>
            <w:pPr>
              <w:pStyle w:val="TableContents"/>
              <w:bidi w:val="0"/>
              <w:spacing w:before="0" w:after="283"/>
              <w:jc w:val="left"/>
              <w:rPr/>
            </w:pPr>
            <w:r>
              <w:rPr/>
              <w:t xml:space="preserve">56,020,287 shares of our common stock, consisting of (i) 14,938,370 shares of our common stock, (ii) 3,735,059 shares of our common stock issuable upon the exercise of the Pre-Funded Warrants, (iii) 18,673,429 shares of our common stock issuable upon the exercise of the Series A Common Warrants (or if such Series A Common Warrants are exercised for Pre-Funded Warrants in lieu of shares of our common stock, shares of our common stock issuable upon exercise of such Pre-Funded Warrants), and (iv) 18,673,429 shares of our common stock issuable upon the exercise of the Series B Common Warrants (or if such Series B Common Warrants are exercised for Pre-Funded Warrants in lieu of shares of our common stock, shares of our common stock issuable upon exercise of such Pre-Funded Warrants), all of which were or will be issued by us in the Private Placement pursuant to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the offering </w:t>
            </w:r>
          </w:p>
        </w:tc>
        <w:tc>
          <w:tcPr>
            <w:tcW w:w="6327" w:type="dxa"/>
            <w:tcBorders/>
          </w:tcPr>
          <w:p>
            <w:pPr>
              <w:pStyle w:val="TableContents"/>
              <w:bidi w:val="0"/>
              <w:spacing w:before="0" w:after="283"/>
              <w:jc w:val="left"/>
              <w:rPr/>
            </w:pPr>
            <w:r>
              <w:rPr/>
              <w:t xml:space="preserve">Each selling stockholder will determine when and how it will sell the common stock offered in this prospectus,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will not receive any proceeds from the sale of the shares of common stock covered by this prospectus. We will, however, receive the net proceeds of any warrants exercised for cash.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“Risk Factors” on page 7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9" w:type="dxa"/>
            <w:tcBorders/>
          </w:tcPr>
          <w:p>
            <w:pPr>
              <w:pStyle w:val="TableContents"/>
              <w:bidi w:val="0"/>
              <w:spacing w:before="0" w:after="283"/>
              <w:jc w:val="left"/>
              <w:rPr/>
            </w:pPr>
            <w:r>
              <w:rPr/>
              <w:t>“</w:t>
            </w:r>
            <w:r>
              <w:rPr/>
              <w:t xml:space="preserve">CALC”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stockholders named in this prospectus may offer and sell up to 56,020,287 shares of our common stock. Our common stock is currently listed on Nasdaq under the symbol “CALC.” Shares of our common stock that may be offered under this prospectus will be fully paid and non-assessable. We will not receive any of the proceeds of sales by the selling stockholders of any of the common stock covered by this prospectus. We will, however, receive the exercise price of $0.0001 per share of any of the Pre-Funded Warrants exercised for cash, the exercise price of $0.8033 per share (or $0.8032 per pre-funded warrant) of any of the Series A Common Warrants exercised for cash and the exercise price of $1.00 per share (or $0.9999 per pre-funded warrant) of any of the Series B Common Warrants exercised for cash. Throughout this prospectus, when we refer to the shares of our common stock being registered on behalf of the selling stockholders for offer and resale, we are referring to the shares of common stock and the shares of common stock issuable upon exercise of the Pre-Funded Warrants and Warrants (including any shares of common stock issued upon exercise of any pre-funded warrants issued upon exercise of the Warrants) that were or will be issued in connection with the Private Placement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16937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our most recent Annual Report on Form 10-K and in our subsequent Quarterly Reports on Form 10-Q, as filed with the SEC,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16937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or other disposition of shares of our common stock held by the selling stockholders pursuant to this prospectus. Upon any exercise of the Pre-Funded Warrants or Warrants for cash, the applicable selling stockholder would pay us the exercise price set forth in the Pre-Funded Warrants or Warrants (including the exercise price of any pre-funded warrants issued upon exercise of the Warrants),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169379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being offered by the selling stockholders are those (i) that were issued to the selling stockholders in connection with the Private Placement and (ii) are issuable to the selling stockholders upon exercise of the Pre-Funded Warrants and Warrants (including any shares of common stock issued upon exercise of any pre-funded warrants issued upon exercise of the Warrants) that were or will be (subject to the receipt of Stockholder Approval) issued to the selling stockholders in connection with the Private Placement. For additional information regarding the issuance of shares of our common stock, Pre-Funded Warrants and Warrants, see the section “Prospectus Summary—Private Placement” above. We are registering the resale of shares of our common stock and shares of our common stock issuable upon exercise of the Pre-Funded Warrants and Warrants (including any shares of common stock issued upon exercise of any pre-funded warrants issued upon exercise of the Warrants) in order to permit the selling stockholders to offer the shares of our common stock for resale from time to time. Except for the ownership of the shares of our common stock, Pre-Funded Warrants and Warrants and for the selling stockholders whose other relationships are provided in “Certain Relationships and Related Party Transactions,” the selling stockholders have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 beneficial ownership of the shares of common stock by each of the selling stockholders. This information has been obtained from the selling stockholders or in Schedules 13G or 13D and other public documents filed with the SEC. The second column lists the number of shares of common stock beneficially owned by each selling stockholder, based on its ownership of shares of our common stock, Pre-Funded Warrants and Warrants issued or issuable in connection with the Private Placement, as of July 9, 2026, assuming exercise of the Pre-Funded Warrants and the issuance and exercise of the Warrants held by the selling stockholders on that date (or acquirable upon issuance of the Warrants) for cash, taking into account any limitations on exercises. The percentage of shares owned after the offering in the fifth column is based on 30,736,401 shares of our common stock outstanding as of July 9, 2026. The fourth column assumes the sale of all of the shares offered by the selling stockholders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Purchase Agreement, this prospectus generally covers the resale of the sum of (i) the shares of our common stock issued in the Private Placement and (ii) the maximum number of shares of our common stock issuable upon exercise of the Pre-Funded Warrants and Warrants that were or will be (subject to the receipt of Stockholder Approval) issued to the purchasers in connection with the Private Placement. In each case, this maximum amount is determined as if (x) all of the Warrants issuable upon the receipt of Stockholder Approval have been issued and (y) the outstanding Pre-Funded Warrants and Warrants were exercised in full for cash and for shares of our common stock, without regard to any limitations on the exercise of the Pre-Funded Warrants and Warrants. Under the terms of the Pre-Funded Warrants and Warrants, a selling stockholder may not exercise the Pre-Funded Warrants or Warrants for shares of common stock to the extent such exercise would cause such selling stockholder, together with its affiliates and attribution parties, to beneficially own a number of shares of our common stock which would exceed 4.99%, 9.99% or 19.99%, as applicable, of the number of shares of our common stock outstanding following such exercise (for purposes of the denominator, immediately after giving effect to the issuance of shares of our common stock to be issued upon the applicable exercise of such Pre-Funded Warrant or Warrant). The number of shares in the second column reflects this limitation, while the number of shares in the third column does not. The selling stockholders may sell all, some or none of their shares in this offering. See the section “Plan of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the persons and entities listed in the table below is c/o CalciMedica, Inc., 505 Coast Boulevard South, Suite 300-9, La Jolla, CA 92037.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69"/>
        <w:gridCol w:w="232"/>
        <w:gridCol w:w="76"/>
        <w:gridCol w:w="1312"/>
        <w:gridCol w:w="60"/>
        <w:gridCol w:w="232"/>
        <w:gridCol w:w="70"/>
        <w:gridCol w:w="1345"/>
        <w:gridCol w:w="60"/>
        <w:gridCol w:w="232"/>
        <w:gridCol w:w="76"/>
        <w:gridCol w:w="1313"/>
        <w:gridCol w:w="76"/>
        <w:gridCol w:w="261"/>
        <w:gridCol w:w="169"/>
        <w:gridCol w:w="1323"/>
        <w:gridCol w:w="282"/>
      </w:tblGrid>
      <w:tr>
        <w:trPr/>
        <w:tc>
          <w:tcPr>
            <w:tcW w:w="226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Beneficial</w:t>
              <w:br/>
              <w:t>Ownership</w:t>
              <w:br/>
              <w:t>Prior to This</w:t>
              <w:br/>
              <w:t>Offering</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2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After This Offering</w:t>
            </w:r>
          </w:p>
        </w:tc>
        <w:tc>
          <w:tcPr>
            <w:tcW w:w="282" w:type="dxa"/>
            <w:tcBorders/>
            <w:vAlign w:val="bottom"/>
          </w:tcPr>
          <w:p>
            <w:pPr>
              <w:pStyle w:val="TableContents"/>
              <w:bidi w:val="0"/>
              <w:spacing w:before="0" w:after="283"/>
              <w:jc w:val="left"/>
              <w:rPr/>
            </w:pPr>
            <w:r>
              <w:rPr/>
              <w:t> </w:t>
            </w:r>
          </w:p>
        </w:tc>
      </w:tr>
      <w:tr>
        <w:trPr/>
        <w:tc>
          <w:tcPr>
            <w:tcW w:w="2269" w:type="dxa"/>
            <w:tcBorders/>
            <w:vAlign w:val="bottom"/>
          </w:tcPr>
          <w:p>
            <w:pPr>
              <w:pStyle w:val="TableContents"/>
              <w:bidi w:val="0"/>
              <w:spacing w:before="0" w:after="283"/>
              <w:jc w:val="left"/>
              <w:rPr>
                <w:b/>
              </w:rPr>
            </w:pPr>
            <w:r>
              <w:rPr>
                <w:b/>
              </w:rPr>
              <w:t>Name of Selling Stockholder</w:t>
            </w:r>
          </w:p>
        </w:tc>
        <w:tc>
          <w:tcPr>
            <w:tcW w:w="232"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Shares Being</w:t>
              <w:br/>
              <w:t>Offered</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br/>
              <w:t>Voting Power</w:t>
              <w:br/>
              <w:t>After This</w:t>
              <w:br/>
              <w:t>Offering</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Rachel Leheny(1)</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2,071,511</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560,187</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1,511,324</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4.76</w:t>
            </w:r>
          </w:p>
        </w:tc>
        <w:tc>
          <w:tcPr>
            <w:tcW w:w="282" w:type="dxa"/>
            <w:tcBorders/>
            <w:shd w:fill="CCEEFF" w:val="clear"/>
            <w:vAlign w:val="bottom"/>
          </w:tcPr>
          <w:p>
            <w:pPr>
              <w:pStyle w:val="TableContents"/>
              <w:bidi w:val="0"/>
              <w:spacing w:before="0" w:after="283"/>
              <w:jc w:val="left"/>
              <w:rPr/>
            </w:pPr>
            <w:r>
              <w:rPr/>
              <w:t>% </w:t>
            </w:r>
          </w:p>
        </w:tc>
      </w:tr>
      <w:tr>
        <w:trPr/>
        <w:tc>
          <w:tcPr>
            <w:tcW w:w="2269" w:type="dxa"/>
            <w:tcBorders/>
          </w:tcPr>
          <w:p>
            <w:pPr>
              <w:pStyle w:val="TableContents"/>
              <w:bidi w:val="0"/>
              <w:spacing w:before="0" w:after="0"/>
              <w:jc w:val="left"/>
              <w:rPr>
                <w:rFonts w:ascii="Times New Roman" w:hAnsi="Times New Roman"/>
                <w:sz w:val="20"/>
              </w:rPr>
            </w:pPr>
            <w:r>
              <w:rPr>
                <w:rFonts w:ascii="Times New Roman" w:hAnsi="Times New Roman"/>
                <w:sz w:val="20"/>
              </w:rPr>
              <w:t>Alafi Capital Company, LLC(2)</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7,283,757</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10,587,576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1,583,153</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4.19</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Alumni Capital LP(3)</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1,867,296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1,867,296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2269" w:type="dxa"/>
            <w:tcBorders/>
          </w:tcPr>
          <w:p>
            <w:pPr>
              <w:pStyle w:val="TableContents"/>
              <w:bidi w:val="0"/>
              <w:spacing w:before="0" w:after="0"/>
              <w:jc w:val="left"/>
              <w:rPr>
                <w:rFonts w:ascii="Times New Roman" w:hAnsi="Times New Roman"/>
                <w:sz w:val="20"/>
              </w:rPr>
            </w:pPr>
            <w:r>
              <w:rPr>
                <w:rFonts w:ascii="Times New Roman" w:hAnsi="Times New Roman"/>
                <w:sz w:val="20"/>
              </w:rPr>
              <w:t>Armistice Capital Master Fund Ltd.(4)</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3,411,361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11,205,177</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Bering Partners II, L.P.(5)</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5,144,698</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4,350,801</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793,897</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2.35</w:t>
            </w:r>
          </w:p>
        </w:tc>
        <w:tc>
          <w:tcPr>
            <w:tcW w:w="282" w:type="dxa"/>
            <w:tcBorders/>
            <w:shd w:fill="CCEEFF" w:val="clear"/>
            <w:vAlign w:val="bottom"/>
          </w:tcPr>
          <w:p>
            <w:pPr>
              <w:pStyle w:val="TableContents"/>
              <w:bidi w:val="0"/>
              <w:spacing w:before="0" w:after="283"/>
              <w:jc w:val="left"/>
              <w:rPr/>
            </w:pPr>
            <w:r>
              <w:rPr/>
              <w:t>% </w:t>
            </w:r>
          </w:p>
        </w:tc>
      </w:tr>
      <w:tr>
        <w:trPr/>
        <w:tc>
          <w:tcPr>
            <w:tcW w:w="2269" w:type="dxa"/>
            <w:tcBorders/>
          </w:tcPr>
          <w:p>
            <w:pPr>
              <w:pStyle w:val="TableContents"/>
              <w:bidi w:val="0"/>
              <w:spacing w:before="0" w:after="0"/>
              <w:jc w:val="left"/>
              <w:rPr>
                <w:rFonts w:ascii="Times New Roman" w:hAnsi="Times New Roman"/>
                <w:sz w:val="20"/>
              </w:rPr>
            </w:pPr>
            <w:r>
              <w:rPr>
                <w:rFonts w:ascii="Times New Roman" w:hAnsi="Times New Roman"/>
                <w:sz w:val="20"/>
              </w:rPr>
              <w:t>CVI Investments, Inc.(6)</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1,556,081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4,668,243</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W. Roberts(7)</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2,020,484</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560,187</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1,460,297</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4.63</w:t>
            </w:r>
          </w:p>
        </w:tc>
        <w:tc>
          <w:tcPr>
            <w:tcW w:w="282" w:type="dxa"/>
            <w:tcBorders/>
            <w:shd w:fill="CCEEFF" w:val="clear"/>
            <w:vAlign w:val="bottom"/>
          </w:tcPr>
          <w:p>
            <w:pPr>
              <w:pStyle w:val="TableContents"/>
              <w:bidi w:val="0"/>
              <w:spacing w:before="0" w:after="283"/>
              <w:jc w:val="left"/>
              <w:rPr/>
            </w:pPr>
            <w:r>
              <w:rPr/>
              <w:t>% </w:t>
            </w:r>
          </w:p>
        </w:tc>
      </w:tr>
      <w:tr>
        <w:trPr/>
        <w:tc>
          <w:tcPr>
            <w:tcW w:w="2269" w:type="dxa"/>
            <w:tcBorders/>
          </w:tcPr>
          <w:p>
            <w:pPr>
              <w:pStyle w:val="TableContents"/>
              <w:bidi w:val="0"/>
              <w:spacing w:before="0" w:after="0"/>
              <w:jc w:val="left"/>
              <w:rPr>
                <w:rFonts w:ascii="Times New Roman" w:hAnsi="Times New Roman"/>
                <w:sz w:val="20"/>
              </w:rPr>
            </w:pPr>
            <w:r>
              <w:rPr>
                <w:rFonts w:ascii="Times New Roman" w:hAnsi="Times New Roman"/>
                <w:sz w:val="20"/>
              </w:rPr>
              <w:t>L1 Capital Global Opportunities Master Fund(8)</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746,916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746,916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N. Wilson(9)</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4,121,690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3,547,863</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573,827</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1.73</w:t>
            </w:r>
          </w:p>
        </w:tc>
        <w:tc>
          <w:tcPr>
            <w:tcW w:w="282" w:type="dxa"/>
            <w:tcBorders/>
            <w:shd w:fill="CCEEFF" w:val="clear"/>
            <w:vAlign w:val="bottom"/>
          </w:tcPr>
          <w:p>
            <w:pPr>
              <w:pStyle w:val="TableContents"/>
              <w:bidi w:val="0"/>
              <w:spacing w:before="0" w:after="283"/>
              <w:jc w:val="left"/>
              <w:rPr/>
            </w:pPr>
            <w:r>
              <w:rPr/>
              <w:t>% </w:t>
            </w:r>
          </w:p>
        </w:tc>
      </w:tr>
      <w:tr>
        <w:trPr/>
        <w:tc>
          <w:tcPr>
            <w:tcW w:w="2269" w:type="dxa"/>
            <w:tcBorders/>
          </w:tcPr>
          <w:p>
            <w:pPr>
              <w:pStyle w:val="TableContents"/>
              <w:bidi w:val="0"/>
              <w:spacing w:before="0" w:after="0"/>
              <w:jc w:val="left"/>
              <w:rPr>
                <w:rFonts w:ascii="Times New Roman" w:hAnsi="Times New Roman"/>
                <w:sz w:val="20"/>
              </w:rPr>
            </w:pPr>
            <w:r>
              <w:rPr>
                <w:rFonts w:ascii="Times New Roman" w:hAnsi="Times New Roman"/>
                <w:sz w:val="20"/>
              </w:rPr>
              <w:t>Sanderling Venture Partners VI Co-Investment Fund, L.P.(10)</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3,154,088</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746,916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2,407,172</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7.71</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Squadron Master Fund LP(11)</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3,734,592</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3,734,592</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2269" w:type="dxa"/>
            <w:tcBorders/>
          </w:tcPr>
          <w:p>
            <w:pPr>
              <w:pStyle w:val="TableContents"/>
              <w:bidi w:val="0"/>
              <w:spacing w:before="0" w:after="0"/>
              <w:jc w:val="left"/>
              <w:rPr>
                <w:rFonts w:ascii="Times New Roman" w:hAnsi="Times New Roman"/>
                <w:sz w:val="20"/>
              </w:rPr>
            </w:pPr>
            <w:r>
              <w:rPr>
                <w:rFonts w:ascii="Times New Roman" w:hAnsi="Times New Roman"/>
                <w:sz w:val="20"/>
              </w:rPr>
              <w:t>Stempoint Capital Master Fund LP(12)</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3,273,196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3,734,592</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Stonepine Capital, LP(13)</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1,867,296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1,867,296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2269" w:type="dxa"/>
            <w:tcBorders/>
          </w:tcPr>
          <w:p>
            <w:pPr>
              <w:pStyle w:val="TableContents"/>
              <w:bidi w:val="0"/>
              <w:spacing w:before="0" w:after="0"/>
              <w:jc w:val="left"/>
              <w:rPr>
                <w:rFonts w:ascii="Times New Roman" w:hAnsi="Times New Roman"/>
                <w:sz w:val="20"/>
              </w:rPr>
            </w:pPr>
            <w:r>
              <w:rPr>
                <w:rFonts w:ascii="Times New Roman" w:hAnsi="Times New Roman"/>
                <w:sz w:val="20"/>
              </w:rPr>
              <w:t>Sudarshan Hebbar, M.D.(14)</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892,004</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373,458</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518,546</w:t>
            </w:r>
          </w:p>
        </w:tc>
        <w:tc>
          <w:tcPr>
            <w:tcW w:w="7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1.65</w:t>
            </w:r>
          </w:p>
        </w:tc>
        <w:tc>
          <w:tcPr>
            <w:tcW w:w="282" w:type="dxa"/>
            <w:tcBorders/>
            <w:vAlign w:val="bottom"/>
          </w:tcPr>
          <w:p>
            <w:pPr>
              <w:pStyle w:val="TableContents"/>
              <w:bidi w:val="0"/>
              <w:spacing w:before="0" w:after="283"/>
              <w:jc w:val="left"/>
              <w:rPr/>
            </w:pPr>
            <w:r>
              <w:rPr/>
              <w:t>% </w:t>
            </w:r>
          </w:p>
        </w:tc>
      </w:tr>
      <w:tr>
        <w:trPr/>
        <w:tc>
          <w:tcPr>
            <w:tcW w:w="2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Woodline Master Fund LP(15)</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7,057,254</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7,469,187</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317,655 shares of common stock held by Dr. Leheny, (ii) 1,000 shares of common stock held by Dr. Leheny’s spouse, (iii) 3,500 shares held by Scheibler-Leheny Family Living Trust, (iv) 636,572 shares of common stock that Dr. Leheny has the right to acquire within 60 days of July 9, 2026 pursuant to the exercise of stock options, and (v) 356,989 shares of common stock held by Valence Investments SPV IV, LLC (“Valence IV”), (vi) 66,228 shares of common stock held by Valence Investments SPV V, LLC (“Valence V”), (vii) 316,109 shares of common stock held by Valence Investments SPV VI, LLC (“Valence VI”) and (viii) 373,458 shares of common stock issuable upon exercise of the Warrants. Due to a beneficial ownership blocker in certain warrants held by Dr. Leheny, the number of shares reported under “Beneficial Ownership Prior to This Offering” excludes 45,543 shares of common stock issuable upon the exercise of certain warrants held by Dr. Leheny. The number of shares reported under “Maximum Number of Shares Being Offered” consists of (i) 186,729 shares of common stock issued in the Private Placement and (ii) 373,458 shares of common stock issuable upon exercise of the Warrants. Dr. Leheny and Mr. Roberts are the co-founders and managing directors of Valence IV, Valence V and Valence VI, have shared voting and dispositive power with respect to shares held by such entities, and disclaim beneficial ownership of such shares except to the extent of their pecuniary interest therein. The principal business address of Valence Investment LLC is 590 Madison Avenue, 21st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5,112,345 shares of common stock and (ii) 2,171,412 shares of common stock issuable upon exercise of the Warrants held by Alafi Capital Company, LLC (“Alafi”). Due to a beneficial ownership blocker in the Warrants, the number of shares reported under “Beneficial Ownership Prior to This Offering” excludes 4,886,972 shares of common stock issuable upon the exercise of the Warrants held by Alafi Capital. The number of shares reported under “Maximum Number of Shares Being Offered” consists of (i) 3,529,192 shares of common stock issued in the Private Placement and (ii) 7,058,384 shares of common stock issuable upon exercise of the Warrants. Christopher D. Alafi is the managing member of Alafi Capital and may be deemed to have sole voting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investment power. The business address of each of Alafi Capital and Mr. Alafi is 8 Admiral Drive, Suite 324, Emeryville, CA 94608.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622,432 shares of common stock issued in the Private Placement and (ii) 1,244,864 shares of common stock issuable upon exercise of the Warrants held by Alumni Capital LP (“Alumni”). Ashkan Mapar is the General Partner of Alumni and may be deemed to have voting and dispositive power over these shares. The business address of Alumni and Mr. Mapar is 601 Brickell Key Dr, Suite 700 Miami, FL 33131.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3,411,361 shares of common stock issuable upon exercise of Pre-Funded Warrants held by Armistice Capital Master Fund Ltd, a Cayman Islands exempted company (the “Master Fund”). Due to a beneficial ownership blocker in each of the Pre-Funded Warrant and the Warrants, the number of shares reported under “Beneficial Ownership Prior to This Offering” excludes (i) 323,698 shares of common stock issuable upon the exercise of the Pre-Funded Warrant and (ii) 7,470,118 shares of common stock issuable upon the exercise of the Warrants held by the Master Fund. The number of shares reported under “Maximum Number of Shares Being Offered” consists of (i) 3,735,059 shares of common stock issuable upon the exercise of Pre-Funded Warrants issued in the Private Placement and (ii) 7,470,118 shares of common stock issuable upon exercise of the Warrants. The securities are directly held by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2,113,513 shares of common stock, (ii) 2,900,534 shares of common stock issuable upon the exercise of the Warrants, and (iii) 130,651 shares of common stock issuable upon the exercise of certain warrants held by Bering Partners II, L.P. (“Bering II”). The number of shares reported under “Maximum Number of Shares Being Offered” consists of (i) 1,450,267 shares of common stock issued in the Private Placement and (ii) 2,900,534 shares of common stock issuable upon exercise of the Warrants held by Bering II. Bering Partners II GP, L.L.C., the general partner of Bering II (“Bering II GP”) may be deemed to have sole voting, investment and dispositive power with respect to the shares held by Bering II. Evgeny Zaytsev and Philip Sawyer, the managing members of Bering II GP, may be deemed to have shared power to vote these shares. The address of each of the entities and individuals is 601 California Street, Suite 620, San Francisco, CA 94108. Information is based solely on a Schedule 13D filed with the SEC on July 2,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1,556,081 shares of common stock held by CVI Investments, Inc. (“CVI”). Due to a beneficial ownership blocker in the Warrants, the number of shares reported under “Beneficial Ownership Prior to This Offering” excludes 3,112,162 shares of common stock issuable upon exercise of the Warrants held by CVI. The number of shares reported under “Maximum Number of Shares Being Offered” consists of (i) 1,556,081 shares of common stock issued in the Private Placement and (ii) 3,112,162 shares of common stock issuable upon exercise of the Warrants. Heights Capital Management, Inc., the authorized agent of CVI, has discretionary authority to vote and dispose of the shares held by CVI and may be deemed to be the beneficial owner of these shares. Martin Kobinger, in his capacity as President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366,435 shares of common stock held by Mr. Roberts, (ii) 10,661 shares of common stock held by IRA Financial Trust Company, CFBO Eric W. Roberts, (iii) 84,150 shares of common stock held by FMTC Custodian—CFBO Eric W. Roberts, (iv) 49,894 shares of common stock held by Oppenheimer &amp; Co. Inc. Custodian FBO Eric W Roberts Roth IRA, (v) 373,458 shares of common stock issuable upon exercise of the Warrants held by Mr. Roberts, (vi) 2,793 shares of common stock issuable upon the exercise of certain warrants held by Mr. Roberts; (vii) 356,989 shares of common stock held by Valence IV, (viii) 66,228 shares of common stock held by Valence V, (ix) 316,109 shares of common stock held by Valence VI and (x) 393,767 shares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common stock that Mr. Roberts has the right to acquire within 60 days of July 9, 2026 pursuant to the exercise of stock options. The number of shares reported under “Maximum Number of Shares Being Offered” consists of (i) 186,729 shares of common stock issued in the Private Placement and (ii) 373,458 shares of common stock issuable upon exercise of the Warrants. Dr. Leheny and Mr. Roberts are the co-founders and managing directors of Valence IV, Valence V and Valence VI, have shared voting and dispositive power with respect to shares held by such entities, and disclaim beneficial ownership of such shares except to the extent of their pecuniary interest therein. The principal business address of Valence Investment LLC is 590 Madison Avenue, 21st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248,972 shares of common stock issued in the Private Placement and (ii) 497,944 shares of common stock issuable upon exercise of the Warrants held by L1 Capital Global Opportunities Master Fund (“L1 Capital”). David Feldman is the director of L1 Capital and may be deemed to have voting and dispositive power over these shares. The business address of L1 Capital Global Opportunities Master Fund is 3rd Floor, Citrus Grove Building, 106 Goring Ave., George Town, PO Box 10085, Grand Cayman KY1-1001, Cayman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1,604,650 shares of common stock held by Mr. Wilson, (ii) 2,365,242 shares of common stock issuable upon exercise of the Warrants held by Mr. Wilson and (iii) 151,798 shares of common stock that Mr. Wilson has the right to acquire within 60 days of July 9, 2026 pursuant to the exercise of stock options. Due to a beneficial ownership blocker in certain warrants held by Mr. Wilson, the number of shares reported under “Beneficial Ownership Prior to This Offering” excludes 151,798 shares of common stock issuable upon the exercise of certain warrants held by Mr. Wilson. The number of shares reported under “Maximum Number of Shares Being Offered” consists of (i) 1,182,621 shares of common stock issued in the Private Placement and (ii) 2,365,242 shares of common stock issuable upon exercise of the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(a) 946,744 shares of common stock and (b) 2,672 shares of common stock issuable upon exercise of certain warrants held by Sanderling Venture Partners VI, LP (“Sanderling VI”), (ii) (a) 1,063,272 shares of common stock, (b) 1,910 shares of common stock issuable upon the exercise of certain warrants, and (c) 497,944 shares of common stock issuable upon exercise of the Warrants held by Sanderling Venture Partners VI Co-Investment Fund, L.P. (“Sanderling Co-Investment”), (iii) 22,479 shares of common stock held by Sanderling Ventures Management VI (“Sanderling Management VI”), (iv) 7,456 shares of the common stock held by Sanderling VI Beteiligungs GmbH &amp; Co KG, (v) 8,884 shares of common stock held by Sanderling VI Limited Partnership, (vi) 435,148 shares of common stock held by Sanderling Ventures VII, L.P. (“Sanderling VII”), (vii) 27,609 shares of common stock held by Sanderling Ventures VII Annex Fund, L.P. (“Sanderling Annex”), (viii) 114,260 shares of common stock held by Sanderling Ventures VII (Canada), LP (“Sanderling Canada”) and (ix) 30,292 shares of common stock held by Sanderling Ventures Management VII (“Sanderling Management VII” and collectively, the “Sanderling Entities”). Due to a beneficial ownership blocker in certain warrants held by the Sanderling Entities, the number of shares reported under “Beneficial Ownership Prior to This Offering” excludes (i) 121,678 shares of common stock issuable upon exercise of warrants held by Sanderling VI, (ii) 72,338 shares of common stock issuable upon exercise of warrants held by Sanderling Co-Investment, (iii) 1,960 shares of common stock issuable upon exercise of warrants held by Sanderling Management VI, (iv) 97,236 shares of common stock issuable upon exercise of warrants held by Sanderling VII, (v) 6,592 shares of common stock issuable upon exercise of warrants held by Sanderling Annex, (vi) 25,516 shares of common stock issuable upon the exercise of warrants held by Sanderling Canada, and (vii) 14,372 shares of common stock issuable upon the exercise of warrants held by Sanderling Management VII. The number of shares reported under “Maximum Number of Shares Being Offered” consists of (i) 248,972 shares of common stock issued in the Private Placement and (ii) 497,944 shares of common stock issuable upon exercise of the Warrants. Mr. Middleton is a managing director at Sanderling Ventures. Mr. Middleton has shared voting and dispositive power with respect to the foregoing shares beneficially owned by Sanderling Ventures and disclaims beneficial ownership of such shares except to the extent of his respective pecuniary interest therein. The address of Sanderling Ventures is 1300 S. El Camino Real, Suite 203, San Mateo, CA 94402.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1,244,864 shares of common stock issued in the Private Placement and (ii) 2,489,728 shares of common stock issuable upon exercise of the Warrants held by Squadron Master Fund LP (“Squadron”). William Blank may be deemed to have voting and dispositive power over these shares. The business address of Squadron is 1211 W. 22nd St, Suite 1008, Oak Brook, IL 60523.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1,244,864 shares of common stock issued in the Private Placement and (ii) 2,028,332 shares of common stock issuable upon exercise of the Warrants held by StemPoint Capital Master Fund LP (“StemPoint”). StemPoint Capital LP serves as the investment manager of StemPoint and may be deemed to be the beneficial owner of the shares. Due to a beneficial ownership blocker in the Warrants, the number of shares reported under “Beneficial Ownership Prior to This Offering” excludes 461,396 shares of common stock issuable upon the exercise of the Warrants held by StemPoint. The number of shares reported under “Maximum Number of Shares Being Offered” consists of (i) 1,244,864 shares of common stock issued in the Private Placement and (ii) 2,489,728 shares of common stock issuable upon exercise of the Warrants. Michelle Ross is the Chief Investment Officer and Managing Partner of StemPoint Capital LP and may be deemed to have voting and dispositive power over these shares. The business address of StemPoint Capital LP, StemPoint and Ms. Ross is 520 Madison Avenue, 19th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622,432 shares of common stock issued in the Private Placement and (ii) 1,244,864 shares of common stock issuable upon exercise of the Warrants. Jon M. Plexico is the managing member of the general partner of Stonepine and may be deemed to have voting and dispositive power over these shares. The business address of Stonepine Capital, LP is 2900 NW Clearwater Drive, Suite 100-11, Bend, OR 97703.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186,025 shares of common stock held by Dr. Hebbar, (ii) 248,972 shares of common stock issuable upon exercise of the Warrants and (iii) 457,007 shares of common stock Dr. Hebbar has the right to acquire within 60 days of July 9, 2026 pursuant to the exercise of stock options. The number of shares reported under “Maximum Number of Shares Being Offered” consists of (i) 124,486 shares of common stock issued in the Private Placement and (ii) 248,972 shares of common stock issuable upon exercise of the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under “Beneficial Ownership Prior to This Offering” consists of (i) 2,489,729 shares of common stock issued in the Private Placement and (ii) 4,567,525 shares of common stock issuable upon exercise of the Warrants held by Woodline Master Fund LP (“Woodline”). Due to a beneficial ownership blocker in the Warrants, the number of shares reported under “Beneficial Ownership Prior to This Offering” excludes 411,933 shares of common stock issuable upon the exercise of the Warrants held by Woodline. Woodline Partners LP serves as the investment manager of Woodline and may be deemed to be the beneficial owner of the shares. Woodline Partners LP disclaims any beneficial ownership of these shares. The business address of Woodline Master Fund LP is 4 Embarcadero Center, Suite 3450, San Francisco, CA 94111.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description set forth above under “Prospectus Summary—Private Placement”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Other than (i) A. Rachel Leheny, who is our Chief Executive Officer, a member of our Board and a beneficial owner of more than 5% of our common stock ; (ii) Eric W. Roberts, who is our Chief Business Officer, a member of our Board and a beneficial owner of more than 5% of our common stock; (iii) Sudarshan Hebbar, who is our Chief Medical Officer; (iv) Robert N. Wilson, who is a member of our Board; (v) Sanderling Venture Partners VI Co-Investment Fund, L.P., a beneficial owner of more than 5% of our common stock and an affiliate of Fred Middleton, a member of the Board, (vi) Alafi Capital Company, LLC, a beneficial owner of more than 5% of our common stock, and (vii) Bering Partners II, L.P., a beneficial owner of more than 5% of our common stock and an affiliate of Evgeny Zaytsev, M.D., Ph.D., a member of our Board, none of the selling stockholders or any persons having control over such selling stockholders has held any position or office with us or our affiliates within the last three years or has had a material relationship with us or any of our predecessors or affiliates within the past three years, other than as a result of the ownership of our shares or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169379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and any of their pledgees, assignees and successors-in-interest may, from time to time, sell any or all of their respective shares of our common stock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of our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through broker-dealers that agree with the selling stockholders to sell a specified number of such shares of our common stock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trades entered into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pledge to secure debts and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selling stockholder may also sell securities under Rule 144 or any other exemption from registration under the Securities Act, if available, rather than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a selling stockholder may arrange for other brokers-dealers to participate in sales. Broker-dealers may receive commissions or discounts from a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before="240" w:after="0"/>
        <w:jc w:val="left"/>
        <w:rPr>
          <w:rFonts w:ascii="Times New Roman" w:hAnsi="Times New Roman"/>
          <w:sz w:val="20"/>
        </w:rPr>
      </w:pPr>
      <w:r>
        <w:rPr>
          <w:rFonts w:ascii="Times New Roman" w:hAnsi="Times New Roman"/>
          <w:sz w:val="20"/>
        </w:rPr>
        <w:t xml:space="preserve">A selling stockholder may enter into option or other transactions with broker-dealers or other financial institutions or create one or more derivative securities which require the delivery to such broker-dealer or other financial institution of the shares of our common stock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A selling stockholder and any broker-dealers or agents that are involved in selling the shares of our common stock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shares of our common stock covered hereby. We have agreed to indemnify any selling stockholder against certain losses, claims, damages and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agreed to keep this prospectus effective until the earliest of (i) the time as all of the shares of common stock and Warrant Shares purchased by the Investors pursuant to the terms of the Purchase Agreement have been sold or otherwise transferred by the holder thereof pursuant to and in a manner contemplated by the registration statement, (ii) such time as such shares of common stock or Warrant Shares are sold pursuant to Rule 144 under circumstances in which any legend borne by such security relating to restrictions on transferability thereof, under the Securities Act, or otherwise, is removed by us, or (iii) such time as the shares of common stock and Warrant Shares become eligible for resale by non-affiliates without any volume limitations or other restrictions pursuant to Rule 144 under the Securities Act or any other rule of similar effect.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shares of our common stock covered hereby may not simultaneously engage in market making activities with respect to our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our common stock by a selling stockholder or any other person. We will make copies of this prospectus available to a selling stockholder and have informed them of the need to deliver a copy of this prospectus to each purchaser at or prior to the time of the sale (including by compliance with and reliance on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169379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San Diego, California, will pass upon the validity of the shares of our common stock offered by this prospectus. </w:t>
      </w:r>
    </w:p>
    <w:p>
      <w:pPr>
        <w:pStyle w:val="TextBody"/>
        <w:bidi w:val="0"/>
        <w:spacing w:before="480" w:after="0"/>
        <w:jc w:val="center"/>
        <w:rPr>
          <w:rFonts w:ascii="Times New Roman" w:hAnsi="Times New Roman"/>
          <w:b/>
          <w:sz w:val="20"/>
        </w:rPr>
      </w:pPr>
      <w:bookmarkStart w:id="11" w:name="rom169379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the years then ended, incorporated by reference from the Annual Report on Form 10-K of the Company for the year ended December 31, 2025, have been audited by Baker Tilly US, LLP, an independent registered public accounting firm, as stated in their report (which report expresses an unqualified opinion and includes an explanatory paragraph relating to a going concern uncertainty).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2" w:name="rom169379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http://www.calcimedica.com. Information contained on or accessible through our website is not a part of this prospectus and is not incorporated by reference herein,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169379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8-K and exhibits filed on such form that are related to such items unless such Form 8-K expressly provides to the contrary):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2025, filed with the SEC on </w:t>
            </w:r>
            <w:hyperlink r:id="rId3">
              <w:r>
                <w:rPr>
                  <w:rStyle w:val="InternetLink"/>
                  <w:rFonts w:ascii="Times New Roman" w:hAnsi="Times New Roman"/>
                  <w:sz w:val="20"/>
                </w:rPr>
                <w:t>March 3, 2026</w:t>
              </w:r>
            </w:hyperlink>
            <w:r>
              <w:rPr>
                <w:rFonts w:ascii="Times New Roman" w:hAnsi="Times New Roman"/>
                <w:sz w:val="20"/>
              </w:rPr>
              <w:t xml:space="preserve">, as amended by Amendment No. 1 to our Annual Report on Form 10-K/A for the year ended December 31, 2025, filed with the SEC on  </w:t>
            </w:r>
            <w:hyperlink r:id="rId4">
              <w:r>
                <w:rPr>
                  <w:rStyle w:val="InternetLink"/>
                  <w:rFonts w:ascii="Times New Roman" w:hAnsi="Times New Roman"/>
                  <w:sz w:val="20"/>
                </w:rPr>
                <w:t>April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 Quarterly Report on Form 10-Q for the quarterly period ended March 31, 2026, filed with the SEC on </w:t>
            </w:r>
            <w:hyperlink r:id="rId5">
              <w:r>
                <w:rPr>
                  <w:rStyle w:val="InternetLink"/>
                  <w:rFonts w:ascii="Times New Roman" w:hAnsi="Times New Roman"/>
                  <w:sz w:val="20"/>
                </w:rPr>
                <w:t>May 12,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which were filed with the SEC on </w:t>
            </w:r>
            <w:hyperlink r:id="rId6">
              <w:r>
                <w:rPr>
                  <w:rStyle w:val="InternetLink"/>
                  <w:rFonts w:ascii="Times New Roman" w:hAnsi="Times New Roman"/>
                  <w:sz w:val="20"/>
                </w:rPr>
                <w:t>January  28, 2026</w:t>
              </w:r>
            </w:hyperlink>
            <w:r>
              <w:rPr>
                <w:rFonts w:ascii="Times New Roman" w:hAnsi="Times New Roman"/>
                <w:sz w:val="20"/>
              </w:rPr>
              <w:t xml:space="preserve">, </w:t>
            </w:r>
            <w:hyperlink r:id="rId7">
              <w:r>
                <w:rPr>
                  <w:rStyle w:val="InternetLink"/>
                  <w:rFonts w:ascii="Times New Roman" w:hAnsi="Times New Roman"/>
                  <w:sz w:val="20"/>
                </w:rPr>
                <w:t>January  28, 2026</w:t>
              </w:r>
            </w:hyperlink>
            <w:r>
              <w:rPr>
                <w:rFonts w:ascii="Times New Roman" w:hAnsi="Times New Roman"/>
                <w:sz w:val="20"/>
              </w:rPr>
              <w:t xml:space="preserve">, </w:t>
            </w:r>
            <w:hyperlink r:id="rId8">
              <w:r>
                <w:rPr>
                  <w:rStyle w:val="InternetLink"/>
                  <w:rFonts w:ascii="Times New Roman" w:hAnsi="Times New Roman"/>
                  <w:sz w:val="20"/>
                </w:rPr>
                <w:t>March 18,  2026</w:t>
              </w:r>
            </w:hyperlink>
            <w:r>
              <w:rPr>
                <w:rFonts w:ascii="Times New Roman" w:hAnsi="Times New Roman"/>
                <w:sz w:val="20"/>
              </w:rPr>
              <w:t xml:space="preserve">, </w:t>
            </w:r>
            <w:hyperlink r:id="rId9">
              <w:r>
                <w:rPr>
                  <w:rStyle w:val="InternetLink"/>
                  <w:rFonts w:ascii="Times New Roman" w:hAnsi="Times New Roman"/>
                  <w:sz w:val="20"/>
                </w:rPr>
                <w:t>June  24, 2026</w:t>
              </w:r>
            </w:hyperlink>
            <w:r>
              <w:rPr>
                <w:rFonts w:ascii="Times New Roman" w:hAnsi="Times New Roman"/>
                <w:sz w:val="20"/>
              </w:rPr>
              <w:t xml:space="preserve">, </w:t>
            </w:r>
            <w:hyperlink r:id="rId10">
              <w:r>
                <w:rPr>
                  <w:rStyle w:val="InternetLink"/>
                  <w:rFonts w:ascii="Times New Roman" w:hAnsi="Times New Roman"/>
                  <w:sz w:val="20"/>
                </w:rPr>
                <w:t>June  24, 2026</w:t>
              </w:r>
            </w:hyperlink>
            <w:r>
              <w:rPr>
                <w:rFonts w:ascii="Times New Roman" w:hAnsi="Times New Roman"/>
                <w:sz w:val="20"/>
              </w:rPr>
              <w:t xml:space="preserve"> and </w:t>
            </w:r>
            <w:hyperlink r:id="rId11">
              <w:r>
                <w:rPr>
                  <w:rStyle w:val="InternetLink"/>
                  <w:rFonts w:ascii="Times New Roman" w:hAnsi="Times New Roman"/>
                  <w:sz w:val="20"/>
                </w:rPr>
                <w:t>July 7,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our Annual Report on Form 10-K for the fiscal year ended December 31, 2023, filed with the SEC on </w:t>
            </w:r>
            <w:hyperlink r:id="rId12">
              <w:r>
                <w:rPr>
                  <w:rStyle w:val="InternetLink"/>
                  <w:rFonts w:ascii="Times New Roman" w:hAnsi="Times New Roman"/>
                  <w:sz w:val="20"/>
                </w:rPr>
                <w:t>March 28, 2024</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CalciMedica, Inc. </w:t>
      </w:r>
    </w:p>
    <w:p>
      <w:pPr>
        <w:pStyle w:val="TextBody"/>
        <w:bidi w:val="0"/>
        <w:spacing w:before="0" w:after="0"/>
        <w:jc w:val="center"/>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center"/>
        <w:rPr>
          <w:rFonts w:ascii="Times New Roman" w:hAnsi="Times New Roman"/>
          <w:sz w:val="20"/>
        </w:rPr>
      </w:pPr>
      <w:r>
        <w:rPr>
          <w:rFonts w:ascii="Times New Roman" w:hAnsi="Times New Roman"/>
          <w:sz w:val="20"/>
        </w:rPr>
        <w:t xml:space="preserve">La Jolla, California 92037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(858) 952-5500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5"/>
        <w:gridCol w:w="412"/>
        <w:gridCol w:w="147"/>
        <w:gridCol w:w="783"/>
        <w:gridCol w:w="62"/>
      </w:tblGrid>
      <w:tr>
        <w:trPr/>
        <w:tc>
          <w:tcPr>
            <w:tcW w:w="5535"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35"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930" w:type="dxa"/>
            <w:gridSpan w:val="2"/>
            <w:tcBorders/>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5,648</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6,500</w:t>
            </w:r>
          </w:p>
        </w:tc>
        <w:tc>
          <w:tcPr>
            <w:tcW w:w="62"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50,000</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7,500</w:t>
            </w:r>
          </w:p>
        </w:tc>
        <w:tc>
          <w:tcPr>
            <w:tcW w:w="62" w:type="dxa"/>
            <w:tcBorders/>
            <w:vAlign w:val="bottom"/>
          </w:tcPr>
          <w:p>
            <w:pPr>
              <w:pStyle w:val="TableContents"/>
              <w:bidi w:val="0"/>
              <w:spacing w:before="0" w:after="283"/>
              <w:jc w:val="left"/>
              <w:rPr/>
            </w:pPr>
            <w:r>
              <w:rPr/>
              <w:t> </w:t>
            </w:r>
          </w:p>
        </w:tc>
      </w:tr>
      <w:tr>
        <w:trPr/>
        <w:tc>
          <w:tcPr>
            <w:tcW w:w="5535"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69,648</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General Corporation Law of the State of Delaware (the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reasonably believed to be in or not opposed to the corporation’s best interests, and, for criminal proceedings, had no reasonable cause to believe his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duty. Where an officer or director is successful on the merits or otherwise in the defense of any action referred to above, the corporation must indemnify him against the expenses which such officer or director actually and reasonably incurred.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provide that we will have the power to indemnify, to the extent permitted by the DGCL, as it presently exists or may hereafter be amended from time to time, any person who was or is a party or is threatened to be made a party to any threatened, pending or completed action, suit or proceeding, whether civil, criminal, administrative or investigative (a “Proceeding”) by reason of the fact that he or she is or was a director, officer, employee or agent of the Corporation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bylaws also provide that the right of directors and officers to indemnification shall be a contract right and shall not be exclusive of any other right now possessed or hereafter acquired under any statute, provision of the certificate of incorporation, bylaw, agreement, vote of stockholders or disinterested directors or otherwise. The bylaws also permit us to secure insurance on behalf of any officer, director, employee, or other agent for any liability arising out of his or her actions in such capacity, regardless of whether the bylaws would permit indemnification of any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directors shall not be personally liable for monetary damages for breaches of their fiduciary duty as directors except for (i) breaches of their duty of loyalty to us or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(ii) acts or omissions not in good faith or which involve intentional misconduct or knowing violations of law, (iii) certain transactions under Section 174 of the DGCL (unlawful payment of dividends or unlawful stock purchases or redemptions), or (iv) transactions from which a director derives an improper personal benefit. Our certificate of incorporation includes such a provision. The effect of this provision is to eliminate the personal liability of directors for monetary damages or actions involving a breach of their fiduciary duty of care, including any actions involving gross negligence.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officers that require us, among other things, to indemnify them against certain liabilities that may arise by reason of their status or service, so long as the indemnitee acted in good faith and in a manner the indemnitee reasonably believed to be in or not opposed to the best interests of us, and, with respect to any criminal action or proceeding, the indemnitee had no reasonable cause to believe his or her conduct was unlawful. We also maintain director and officer liability insurance to insure our directors and officers against the cost of defense, settlement or payment of a judgment under specified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1"/>
        <w:gridCol w:w="259"/>
        <w:gridCol w:w="2627"/>
        <w:gridCol w:w="175"/>
        <w:gridCol w:w="620"/>
        <w:gridCol w:w="175"/>
        <w:gridCol w:w="902"/>
        <w:gridCol w:w="175"/>
        <w:gridCol w:w="2063"/>
        <w:gridCol w:w="175"/>
        <w:gridCol w:w="799"/>
        <w:gridCol w:w="175"/>
        <w:gridCol w:w="536"/>
        <w:gridCol w:w="536"/>
        <w:gridCol w:w="67"/>
      </w:tblGrid>
      <w:tr>
        <w:trPr/>
        <w:tc>
          <w:tcPr>
            <w:tcW w:w="921"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2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59" w:type="dxa"/>
            <w:tcBorders/>
            <w:vAlign w:val="bottom"/>
          </w:tcPr>
          <w:p>
            <w:pPr>
              <w:pStyle w:val="TableContents"/>
              <w:bidi w:val="0"/>
              <w:spacing w:before="0" w:after="283"/>
              <w:jc w:val="left"/>
              <w:rPr/>
            </w:pPr>
            <w:r>
              <w:rPr/>
              <w:t>  </w:t>
            </w:r>
          </w:p>
        </w:tc>
        <w:tc>
          <w:tcPr>
            <w:tcW w:w="26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75" w:type="dxa"/>
            <w:tcBorders/>
            <w:vAlign w:val="bottom"/>
          </w:tcPr>
          <w:p>
            <w:pPr>
              <w:pStyle w:val="TableContents"/>
              <w:bidi w:val="0"/>
              <w:spacing w:before="0" w:after="283"/>
              <w:jc w:val="left"/>
              <w:rPr/>
            </w:pPr>
            <w:r>
              <w:rPr/>
              <w:t>  </w:t>
            </w:r>
          </w:p>
        </w:tc>
        <w:tc>
          <w:tcPr>
            <w:tcW w:w="620"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75" w:type="dxa"/>
            <w:tcBorders/>
            <w:vAlign w:val="bottom"/>
          </w:tcPr>
          <w:p>
            <w:pPr>
              <w:pStyle w:val="TableContents"/>
              <w:bidi w:val="0"/>
              <w:spacing w:before="0" w:after="283"/>
              <w:jc w:val="left"/>
              <w:rPr/>
            </w:pPr>
            <w:r>
              <w:rPr/>
              <w:t>  </w:t>
            </w:r>
          </w:p>
        </w:tc>
        <w:tc>
          <w:tcPr>
            <w:tcW w:w="902"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75" w:type="dxa"/>
            <w:tcBorders/>
            <w:vAlign w:val="bottom"/>
          </w:tcPr>
          <w:p>
            <w:pPr>
              <w:pStyle w:val="TableContents"/>
              <w:bidi w:val="0"/>
              <w:spacing w:before="0" w:after="283"/>
              <w:jc w:val="left"/>
              <w:rPr/>
            </w:pPr>
            <w:r>
              <w:rPr/>
              <w:t>  </w:t>
            </w:r>
          </w:p>
        </w:tc>
        <w:tc>
          <w:tcPr>
            <w:tcW w:w="2063" w:type="dxa"/>
            <w:tcBorders>
              <w:bottom w:val="single" w:sz="8" w:space="0" w:color="000000"/>
            </w:tcBorders>
            <w:tcMar>
              <w:bottom w:w="28" w:type="dxa"/>
            </w:tcMar>
            <w:vAlign w:val="bottom"/>
          </w:tcPr>
          <w:p>
            <w:pPr>
              <w:pStyle w:val="TableContents"/>
              <w:bidi w:val="0"/>
              <w:spacing w:before="0" w:after="283"/>
              <w:jc w:val="center"/>
              <w:rPr>
                <w:b/>
              </w:rPr>
            </w:pPr>
            <w:r>
              <w:rPr>
                <w:b/>
              </w:rPr>
              <w:t>Exhibit Filing Date</w:t>
            </w:r>
          </w:p>
        </w:tc>
        <w:tc>
          <w:tcPr>
            <w:tcW w:w="175" w:type="dxa"/>
            <w:tcBorders/>
            <w:vAlign w:val="bottom"/>
          </w:tcPr>
          <w:p>
            <w:pPr>
              <w:pStyle w:val="TableContents"/>
              <w:bidi w:val="0"/>
              <w:spacing w:before="0" w:after="283"/>
              <w:jc w:val="left"/>
              <w:rPr/>
            </w:pPr>
            <w:r>
              <w:rPr/>
              <w:t>  </w:t>
            </w:r>
          </w:p>
        </w:tc>
        <w:tc>
          <w:tcPr>
            <w:tcW w:w="799"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175"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Furnished</w:t>
              <w:br/>
              <w:t>Herewith</w:t>
            </w:r>
          </w:p>
        </w:tc>
        <w:tc>
          <w:tcPr>
            <w:tcW w:w="67" w:type="dxa"/>
            <w:tcBorders/>
            <w:vAlign w:val="bottom"/>
          </w:tcPr>
          <w:p>
            <w:pPr>
              <w:pStyle w:val="TableContents"/>
              <w:bidi w:val="0"/>
              <w:spacing w:before="0" w:after="283"/>
              <w:jc w:val="left"/>
              <w:rPr/>
            </w:pPr>
            <w:r>
              <w:rPr/>
              <w:t> </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4.1</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13">
              <w:r>
                <w:rPr>
                  <w:rStyle w:val="InternetLink"/>
                </w:rPr>
                <w:t xml:space="preserve">Amended and Restated Certificate of Incorporation of the Registrant. </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8-K</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001-39538</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March 22, 2023</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3.1</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4.2</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14">
              <w:r>
                <w:rPr>
                  <w:rStyle w:val="InternetLink"/>
                </w:rPr>
                <w:t xml:space="preserve">Certificate of Amendment, dated March 20, 2023 to Amended and Restated Certificate of Incorporation of the Registrant. </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8-K</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001-39538</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March 22, 2023</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3.2</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4.3</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15">
              <w:r>
                <w:rPr>
                  <w:rStyle w:val="InternetLink"/>
                </w:rPr>
                <w:t>Restated Bylaws of the Registrant.</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10-Q</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001-39538</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November 12, 2020</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3.2</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4.4</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16">
              <w:r>
                <w:rPr>
                  <w:rStyle w:val="InternetLink"/>
                </w:rPr>
                <w:t xml:space="preserve">Form of Common Stock Certificate of the Registrant. </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S-1/A</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333-248611</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September 21, 2020</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4.1</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4.5</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17">
              <w:r>
                <w:rPr>
                  <w:rStyle w:val="InternetLink"/>
                </w:rPr>
                <w:t xml:space="preserve">Form of Registration Rights Agreement, dated November  21, 2022, by and among CalciMedica, Inc. and the several purchasers signatory thereto. </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8-K</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001-39538</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March 22, 2023</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4.1</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4.6</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18">
              <w:r>
                <w:rPr>
                  <w:rStyle w:val="InternetLink"/>
                </w:rPr>
                <w:t xml:space="preserve">Form of Registration Rights Agreement by and among CalciMedica, Inc. and the persons party thereto. </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8-K</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001-39538</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January 24, 2024</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10.2</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4.7</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19">
              <w:r>
                <w:rPr>
                  <w:rStyle w:val="InternetLink"/>
                </w:rPr>
                <w:t>Warrant to Purchase Common Stock dated as of December 11, 2019, by and between the Registrant and SG Dan Equity Holdings, LLC.</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S-1</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333-248611</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September 4, 2020</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4.3</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2886" w:type="dxa"/>
            <w:gridSpan w:val="2"/>
            <w:tcBorders/>
            <w:vAlign w:val="center"/>
          </w:tcPr>
          <w:p>
            <w:pPr>
              <w:pStyle w:val="TableContents"/>
              <w:bidi w:val="0"/>
              <w:spacing w:before="0" w:after="283"/>
              <w:jc w:val="left"/>
              <w:rPr>
                <w:sz w:val="4"/>
                <w:szCs w:val="4"/>
              </w:rPr>
            </w:pPr>
            <w:r>
              <w:rPr>
                <w:sz w:val="4"/>
                <w:szCs w:val="4"/>
              </w:rPr>
            </w:r>
          </w:p>
        </w:tc>
        <w:tc>
          <w:tcPr>
            <w:tcW w:w="795" w:type="dxa"/>
            <w:gridSpan w:val="2"/>
            <w:tcBorders/>
            <w:vAlign w:val="center"/>
          </w:tcPr>
          <w:p>
            <w:pPr>
              <w:pStyle w:val="TableContents"/>
              <w:bidi w:val="0"/>
              <w:spacing w:before="0" w:after="283"/>
              <w:jc w:val="left"/>
              <w:rPr>
                <w:sz w:val="4"/>
                <w:szCs w:val="4"/>
              </w:rPr>
            </w:pPr>
            <w:r>
              <w:rPr>
                <w:sz w:val="4"/>
                <w:szCs w:val="4"/>
              </w:rPr>
            </w:r>
          </w:p>
        </w:tc>
        <w:tc>
          <w:tcPr>
            <w:tcW w:w="1077" w:type="dxa"/>
            <w:gridSpan w:val="2"/>
            <w:tcBorders/>
            <w:vAlign w:val="center"/>
          </w:tcPr>
          <w:p>
            <w:pPr>
              <w:pStyle w:val="TableContents"/>
              <w:bidi w:val="0"/>
              <w:spacing w:before="0" w:after="283"/>
              <w:jc w:val="left"/>
              <w:rPr>
                <w:sz w:val="4"/>
                <w:szCs w:val="4"/>
              </w:rPr>
            </w:pPr>
            <w:r>
              <w:rPr>
                <w:sz w:val="4"/>
                <w:szCs w:val="4"/>
              </w:rPr>
            </w:r>
          </w:p>
        </w:tc>
        <w:tc>
          <w:tcPr>
            <w:tcW w:w="2238" w:type="dxa"/>
            <w:gridSpan w:val="2"/>
            <w:tcBorders/>
            <w:vAlign w:val="center"/>
          </w:tcPr>
          <w:p>
            <w:pPr>
              <w:pStyle w:val="TableContents"/>
              <w:bidi w:val="0"/>
              <w:spacing w:before="0" w:after="283"/>
              <w:jc w:val="left"/>
              <w:rPr>
                <w:sz w:val="4"/>
                <w:szCs w:val="4"/>
              </w:rPr>
            </w:pPr>
            <w:r>
              <w:rPr>
                <w:sz w:val="4"/>
                <w:szCs w:val="4"/>
              </w:rPr>
            </w:r>
          </w:p>
        </w:tc>
        <w:tc>
          <w:tcPr>
            <w:tcW w:w="974" w:type="dxa"/>
            <w:gridSpan w:val="2"/>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4.8</w:t>
            </w:r>
          </w:p>
        </w:tc>
        <w:tc>
          <w:tcPr>
            <w:tcW w:w="259" w:type="dxa"/>
            <w:tcBorders/>
            <w:vAlign w:val="bottom"/>
          </w:tcPr>
          <w:p>
            <w:pPr>
              <w:pStyle w:val="TableContents"/>
              <w:bidi w:val="0"/>
              <w:spacing w:before="0" w:after="283"/>
              <w:jc w:val="left"/>
              <w:rPr/>
            </w:pPr>
            <w:r>
              <w:rPr/>
              <w:t>  </w:t>
            </w:r>
          </w:p>
        </w:tc>
        <w:tc>
          <w:tcPr>
            <w:tcW w:w="2627" w:type="dxa"/>
            <w:tcBorders/>
          </w:tcPr>
          <w:p>
            <w:pPr>
              <w:pStyle w:val="TableContents"/>
              <w:bidi w:val="0"/>
              <w:spacing w:before="0" w:after="283"/>
              <w:jc w:val="left"/>
              <w:rPr/>
            </w:pPr>
            <w:hyperlink r:id="rId20">
              <w:r>
                <w:rPr>
                  <w:rStyle w:val="InternetLink"/>
                </w:rPr>
                <w:t xml:space="preserve">Form of Warrant to Purchase Shares of Series D Convertible Preferred Stock of CalciMedica, Inc. </w:t>
              </w:r>
            </w:hyperlink>
          </w:p>
        </w:tc>
        <w:tc>
          <w:tcPr>
            <w:tcW w:w="17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8-K</w:t>
            </w:r>
          </w:p>
        </w:tc>
        <w:tc>
          <w:tcPr>
            <w:tcW w:w="17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center"/>
              <w:rPr/>
            </w:pPr>
            <w:r>
              <w:rPr/>
              <w:t>001-39538</w:t>
            </w:r>
          </w:p>
        </w:tc>
        <w:tc>
          <w:tcPr>
            <w:tcW w:w="175" w:type="dxa"/>
            <w:tcBorders/>
            <w:vAlign w:val="bottom"/>
          </w:tcPr>
          <w:p>
            <w:pPr>
              <w:pStyle w:val="TableContents"/>
              <w:bidi w:val="0"/>
              <w:spacing w:before="0" w:after="283"/>
              <w:jc w:val="left"/>
              <w:rPr/>
            </w:pPr>
            <w:r>
              <w:rPr/>
              <w:t>  </w:t>
            </w:r>
          </w:p>
        </w:tc>
        <w:tc>
          <w:tcPr>
            <w:tcW w:w="2063" w:type="dxa"/>
            <w:tcBorders/>
            <w:vAlign w:val="bottom"/>
          </w:tcPr>
          <w:p>
            <w:pPr>
              <w:pStyle w:val="TableContents"/>
              <w:bidi w:val="0"/>
              <w:spacing w:before="0" w:after="283"/>
              <w:jc w:val="center"/>
              <w:rPr/>
            </w:pPr>
            <w:r>
              <w:rPr/>
              <w:t>March 22, 2023</w:t>
            </w:r>
          </w:p>
        </w:tc>
        <w:tc>
          <w:tcPr>
            <w:tcW w:w="1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center"/>
              <w:rPr/>
            </w:pPr>
            <w:r>
              <w:rPr/>
              <w:t>4.2</w:t>
            </w:r>
          </w:p>
        </w:tc>
        <w:tc>
          <w:tcPr>
            <w:tcW w:w="17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4"/>
        <w:gridCol w:w="344"/>
        <w:gridCol w:w="2963"/>
        <w:gridCol w:w="242"/>
        <w:gridCol w:w="591"/>
        <w:gridCol w:w="242"/>
        <w:gridCol w:w="906"/>
        <w:gridCol w:w="242"/>
        <w:gridCol w:w="1407"/>
        <w:gridCol w:w="242"/>
        <w:gridCol w:w="775"/>
        <w:gridCol w:w="242"/>
        <w:gridCol w:w="1105"/>
      </w:tblGrid>
      <w:tr>
        <w:trPr/>
        <w:tc>
          <w:tcPr>
            <w:tcW w:w="904"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904"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344" w:type="dxa"/>
            <w:tcBorders/>
            <w:vAlign w:val="bottom"/>
          </w:tcPr>
          <w:p>
            <w:pPr>
              <w:pStyle w:val="TableContents"/>
              <w:bidi w:val="0"/>
              <w:spacing w:before="0" w:after="283"/>
              <w:jc w:val="left"/>
              <w:rPr/>
            </w:pPr>
            <w:r>
              <w:rPr/>
              <w:t>  </w:t>
            </w:r>
          </w:p>
        </w:tc>
        <w:tc>
          <w:tcPr>
            <w:tcW w:w="29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42" w:type="dxa"/>
            <w:tcBorders/>
            <w:vAlign w:val="bottom"/>
          </w:tcPr>
          <w:p>
            <w:pPr>
              <w:pStyle w:val="TableContents"/>
              <w:bidi w:val="0"/>
              <w:spacing w:before="0" w:after="283"/>
              <w:jc w:val="left"/>
              <w:rPr/>
            </w:pPr>
            <w:r>
              <w:rPr/>
              <w:t>  </w:t>
            </w:r>
          </w:p>
        </w:tc>
        <w:tc>
          <w:tcPr>
            <w:tcW w:w="591"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242" w:type="dxa"/>
            <w:tcBorders/>
            <w:vAlign w:val="bottom"/>
          </w:tcPr>
          <w:p>
            <w:pPr>
              <w:pStyle w:val="TableContents"/>
              <w:bidi w:val="0"/>
              <w:spacing w:before="0" w:after="283"/>
              <w:jc w:val="left"/>
              <w:rPr/>
            </w:pPr>
            <w:r>
              <w:rPr/>
              <w:t>  </w:t>
            </w:r>
          </w:p>
        </w:tc>
        <w:tc>
          <w:tcPr>
            <w:tcW w:w="906"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242" w:type="dxa"/>
            <w:tcBorders/>
            <w:vAlign w:val="bottom"/>
          </w:tcPr>
          <w:p>
            <w:pPr>
              <w:pStyle w:val="TableContents"/>
              <w:bidi w:val="0"/>
              <w:spacing w:before="0" w:after="283"/>
              <w:jc w:val="left"/>
              <w:rPr/>
            </w:pPr>
            <w:r>
              <w:rPr/>
              <w:t>  </w:t>
            </w:r>
          </w:p>
        </w:tc>
        <w:tc>
          <w:tcPr>
            <w:tcW w:w="1407" w:type="dxa"/>
            <w:tcBorders>
              <w:bottom w:val="single" w:sz="8" w:space="0" w:color="000000"/>
            </w:tcBorders>
            <w:tcMar>
              <w:bottom w:w="28" w:type="dxa"/>
            </w:tcMar>
            <w:vAlign w:val="bottom"/>
          </w:tcPr>
          <w:p>
            <w:pPr>
              <w:pStyle w:val="TableContents"/>
              <w:bidi w:val="0"/>
              <w:spacing w:before="0" w:after="283"/>
              <w:jc w:val="center"/>
              <w:rPr>
                <w:b/>
              </w:rPr>
            </w:pPr>
            <w:r>
              <w:rPr>
                <w:b/>
              </w:rPr>
              <w:t>Exhibit Filing Date</w:t>
            </w:r>
          </w:p>
        </w:tc>
        <w:tc>
          <w:tcPr>
            <w:tcW w:w="242" w:type="dxa"/>
            <w:tcBorders/>
            <w:vAlign w:val="bottom"/>
          </w:tcPr>
          <w:p>
            <w:pPr>
              <w:pStyle w:val="TableContents"/>
              <w:bidi w:val="0"/>
              <w:spacing w:before="0" w:after="283"/>
              <w:jc w:val="left"/>
              <w:rPr/>
            </w:pPr>
            <w:r>
              <w:rPr/>
              <w:t>  </w:t>
            </w:r>
          </w:p>
        </w:tc>
        <w:tc>
          <w:tcPr>
            <w:tcW w:w="775"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242" w:type="dxa"/>
            <w:tcBorders/>
            <w:vAlign w:val="bottom"/>
          </w:tcPr>
          <w:p>
            <w:pPr>
              <w:pStyle w:val="TableContents"/>
              <w:bidi w:val="0"/>
              <w:spacing w:before="0" w:after="283"/>
              <w:jc w:val="left"/>
              <w:rPr/>
            </w:pPr>
            <w:r>
              <w:rPr/>
              <w:t>  </w:t>
            </w:r>
          </w:p>
        </w:tc>
        <w:tc>
          <w:tcPr>
            <w:tcW w:w="1105" w:type="dxa"/>
            <w:tcBorders>
              <w:bottom w:val="single" w:sz="8" w:space="0" w:color="000000"/>
            </w:tcBorders>
            <w:tcMar>
              <w:bottom w:w="28" w:type="dxa"/>
            </w:tcMar>
            <w:vAlign w:val="bottom"/>
          </w:tcPr>
          <w:p>
            <w:pPr>
              <w:pStyle w:val="TableContents"/>
              <w:bidi w:val="0"/>
              <w:spacing w:before="0" w:after="283"/>
              <w:jc w:val="center"/>
              <w:rPr>
                <w:b/>
              </w:rPr>
            </w:pPr>
            <w:r>
              <w:rPr>
                <w:b/>
              </w:rPr>
              <w:t>Filed/</w:t>
              <w:br/>
              <w:t>Furnished</w:t>
              <w:br/>
              <w:t>Herewith</w:t>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4.9</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1">
              <w:r>
                <w:rPr>
                  <w:rStyle w:val="InternetLink"/>
                </w:rPr>
                <w:t xml:space="preserve">Warrant to Purchase Common Stock dated as of November 9, 2020, issued by CalciMedica, Inc. to SG Dan Equity Holdings, LLC.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March 22, 2023</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4.3</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4.10</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2">
              <w:r>
                <w:rPr>
                  <w:rStyle w:val="InternetLink"/>
                </w:rPr>
                <w:t xml:space="preserve">Warrant to Purchase Common Stock, dated as of October 18, 2022, issued by CalciMedica, Inc. to SG Dan Equity Holdings, LLC.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March 22, 2023</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4.4</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4.11</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3">
              <w:r>
                <w:rPr>
                  <w:rStyle w:val="InternetLink"/>
                </w:rPr>
                <w:t xml:space="preserve">Warrant to Purchase Common Stock, dated as of October 18, 2022, issued by CalciMedica, Inc. to Eric Roberts.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March 22, 2023</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4.5</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4.12</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4">
              <w:r>
                <w:rPr>
                  <w:rStyle w:val="InternetLink"/>
                </w:rPr>
                <w:t xml:space="preserve">Warrant to Purchase Common Stock, dated as of October 25, 2022, issued by CalciMedica, Inc. to Fred Middleton.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March 22, 2023</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4.6</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4.13</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5">
              <w:r>
                <w:rPr>
                  <w:rStyle w:val="InternetLink"/>
                </w:rPr>
                <w:t xml:space="preserve">Form of Warrant to Purchase Shares of Series B Convertible Preferred Stock of CalciMedica, Inc.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S-3</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333-271115</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April 4, 2023</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4.9</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4.14</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6">
              <w:r>
                <w:rPr>
                  <w:rStyle w:val="InternetLink"/>
                </w:rPr>
                <w:t xml:space="preserve">Warrant to Purchase Common Stock, dated as of May 17, 2024, issued by the Registrant to SG Dan Equity Holdings, LLC.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10-Q</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August 12, 2024</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4.16</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4.15</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7">
              <w:r>
                <w:rPr>
                  <w:rStyle w:val="InternetLink"/>
                </w:rPr>
                <w:t xml:space="preserve">Warrant to Purchase Shares of Stock of CalciMedica, Inc. dated February  28, 2025, by and between CalciMedica, Inc. and Avenue Venture Opportunities Fund II, LP.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March 5, 2025</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4.1</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4.16</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8">
              <w:r>
                <w:rPr>
                  <w:rStyle w:val="InternetLink"/>
                </w:rPr>
                <w:t xml:space="preserve">First Amendment to Warrant to Purchase Shares of Stock dated June  23, 2026, by and between CalciMedica, Inc. and Avenue Venture Opportunities Fund II, L.P.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June 24, 2026</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4.2</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4" w:type="dxa"/>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148" w:type="dxa"/>
            <w:gridSpan w:val="2"/>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tcPr>
          <w:p>
            <w:pPr>
              <w:pStyle w:val="TableContents"/>
              <w:bidi w:val="0"/>
              <w:spacing w:before="0" w:after="283"/>
              <w:jc w:val="left"/>
              <w:rPr/>
            </w:pPr>
            <w:r>
              <w:rPr/>
              <w:t> </w:t>
            </w:r>
            <w:r>
              <w:rPr/>
              <w:t>4.17</w:t>
            </w:r>
          </w:p>
        </w:tc>
        <w:tc>
          <w:tcPr>
            <w:tcW w:w="34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hyperlink r:id="rId29">
              <w:r>
                <w:rPr>
                  <w:rStyle w:val="InternetLink"/>
                </w:rPr>
                <w:t xml:space="preserve">First Amendment Warrant to Purchase Shares of Stock of CalciMedica, Inc. dated June  23, 2026, by and between CalciMedica, Inc., Avenue Venture Opportunities Fund II, L.P. and Avenue Capital Management II, L.P. </w:t>
              </w:r>
            </w:hyperlink>
          </w:p>
        </w:tc>
        <w:tc>
          <w:tcPr>
            <w:tcW w:w="242"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4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001-39538</w:t>
            </w:r>
          </w:p>
        </w:tc>
        <w:tc>
          <w:tcPr>
            <w:tcW w:w="24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center"/>
              <w:rPr/>
            </w:pPr>
            <w:r>
              <w:rPr/>
              <w:t>June 24, 2026</w:t>
            </w:r>
          </w:p>
        </w:tc>
        <w:tc>
          <w:tcPr>
            <w:tcW w:w="242"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center"/>
              <w:rPr/>
            </w:pPr>
            <w:r>
              <w:rPr/>
              <w:t>4.3</w:t>
            </w:r>
          </w:p>
        </w:tc>
        <w:tc>
          <w:tcPr>
            <w:tcW w:w="2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98"/>
        <w:gridCol w:w="252"/>
        <w:gridCol w:w="3423"/>
        <w:gridCol w:w="213"/>
        <w:gridCol w:w="592"/>
        <w:gridCol w:w="213"/>
        <w:gridCol w:w="733"/>
        <w:gridCol w:w="213"/>
        <w:gridCol w:w="1365"/>
        <w:gridCol w:w="212"/>
        <w:gridCol w:w="776"/>
        <w:gridCol w:w="213"/>
        <w:gridCol w:w="1102"/>
      </w:tblGrid>
      <w:tr>
        <w:trPr/>
        <w:tc>
          <w:tcPr>
            <w:tcW w:w="898"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342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89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52" w:type="dxa"/>
            <w:tcBorders/>
            <w:vAlign w:val="bottom"/>
          </w:tcPr>
          <w:p>
            <w:pPr>
              <w:pStyle w:val="TableContents"/>
              <w:bidi w:val="0"/>
              <w:spacing w:before="0" w:after="283"/>
              <w:jc w:val="left"/>
              <w:rPr/>
            </w:pPr>
            <w:r>
              <w:rPr/>
              <w:t>  </w:t>
            </w:r>
          </w:p>
        </w:tc>
        <w:tc>
          <w:tcPr>
            <w:tcW w:w="34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13" w:type="dxa"/>
            <w:tcBorders/>
            <w:vAlign w:val="bottom"/>
          </w:tcPr>
          <w:p>
            <w:pPr>
              <w:pStyle w:val="TableContents"/>
              <w:bidi w:val="0"/>
              <w:spacing w:before="0" w:after="283"/>
              <w:jc w:val="left"/>
              <w:rPr/>
            </w:pPr>
            <w:r>
              <w:rPr/>
              <w:t>  </w:t>
            </w:r>
          </w:p>
        </w:tc>
        <w:tc>
          <w:tcPr>
            <w:tcW w:w="592"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213" w:type="dxa"/>
            <w:tcBorders/>
            <w:vAlign w:val="bottom"/>
          </w:tcPr>
          <w:p>
            <w:pPr>
              <w:pStyle w:val="TableContents"/>
              <w:bidi w:val="0"/>
              <w:spacing w:before="0" w:after="283"/>
              <w:jc w:val="left"/>
              <w:rPr/>
            </w:pPr>
            <w:r>
              <w:rPr/>
              <w:t>  </w:t>
            </w:r>
          </w:p>
        </w:tc>
        <w:tc>
          <w:tcPr>
            <w:tcW w:w="733"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213" w:type="dxa"/>
            <w:tcBorders/>
            <w:vAlign w:val="bottom"/>
          </w:tcPr>
          <w:p>
            <w:pPr>
              <w:pStyle w:val="TableContents"/>
              <w:bidi w:val="0"/>
              <w:spacing w:before="0" w:after="283"/>
              <w:jc w:val="left"/>
              <w:rPr/>
            </w:pPr>
            <w:r>
              <w:rPr/>
              <w:t>  </w:t>
            </w:r>
          </w:p>
        </w:tc>
        <w:tc>
          <w:tcPr>
            <w:tcW w:w="1365" w:type="dxa"/>
            <w:tcBorders>
              <w:bottom w:val="single" w:sz="8" w:space="0" w:color="000000"/>
            </w:tcBorders>
            <w:tcMar>
              <w:bottom w:w="28" w:type="dxa"/>
            </w:tcMar>
            <w:vAlign w:val="bottom"/>
          </w:tcPr>
          <w:p>
            <w:pPr>
              <w:pStyle w:val="TableContents"/>
              <w:bidi w:val="0"/>
              <w:spacing w:before="0" w:after="283"/>
              <w:jc w:val="center"/>
              <w:rPr>
                <w:b/>
              </w:rPr>
            </w:pPr>
            <w:r>
              <w:rPr>
                <w:b/>
              </w:rPr>
              <w:t>Exhibit Filing Date</w:t>
            </w:r>
          </w:p>
        </w:tc>
        <w:tc>
          <w:tcPr>
            <w:tcW w:w="212" w:type="dxa"/>
            <w:tcBorders/>
            <w:vAlign w:val="bottom"/>
          </w:tcPr>
          <w:p>
            <w:pPr>
              <w:pStyle w:val="TableContents"/>
              <w:bidi w:val="0"/>
              <w:spacing w:before="0" w:after="283"/>
              <w:jc w:val="left"/>
              <w:rPr/>
            </w:pPr>
            <w:r>
              <w:rPr/>
              <w:t>  </w:t>
            </w:r>
          </w:p>
        </w:tc>
        <w:tc>
          <w:tcPr>
            <w:tcW w:w="77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213" w:type="dxa"/>
            <w:tcBorders/>
            <w:vAlign w:val="bottom"/>
          </w:tcPr>
          <w:p>
            <w:pPr>
              <w:pStyle w:val="TableContents"/>
              <w:bidi w:val="0"/>
              <w:spacing w:before="0" w:after="283"/>
              <w:jc w:val="left"/>
              <w:rPr/>
            </w:pPr>
            <w:r>
              <w:rPr/>
              <w:t>  </w:t>
            </w:r>
          </w:p>
        </w:tc>
        <w:tc>
          <w:tcPr>
            <w:tcW w:w="1102" w:type="dxa"/>
            <w:tcBorders>
              <w:bottom w:val="single" w:sz="8" w:space="0" w:color="000000"/>
            </w:tcBorders>
            <w:tcMar>
              <w:bottom w:w="28" w:type="dxa"/>
            </w:tcMar>
            <w:vAlign w:val="bottom"/>
          </w:tcPr>
          <w:p>
            <w:pPr>
              <w:pStyle w:val="TableContents"/>
              <w:bidi w:val="0"/>
              <w:spacing w:before="0" w:after="283"/>
              <w:jc w:val="center"/>
              <w:rPr>
                <w:b/>
              </w:rPr>
            </w:pPr>
            <w:r>
              <w:rPr>
                <w:b/>
              </w:rPr>
              <w:t>Filed/</w:t>
              <w:br/>
              <w:t>Furnished</w:t>
              <w:br/>
              <w:t>Herewith</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4.18*</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r:id="rId30">
              <w:r>
                <w:rPr>
                  <w:rStyle w:val="InternetLink"/>
                </w:rPr>
                <w:t xml:space="preserve">Form of Securities Purchase Agreement, dated June  23, 2026, by and between CalciMedica, Inc. and each of the Investors party thereto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center"/>
              <w:rPr/>
            </w:pPr>
            <w:r>
              <w:rPr/>
              <w:t>001-39538</w:t>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center"/>
              <w:rPr/>
            </w:pPr>
            <w:r>
              <w:rPr/>
              <w:t>June 24, 2026</w:t>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10.1</w:t>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4.19</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r:id="rId31">
              <w:r>
                <w:rPr>
                  <w:rStyle w:val="InternetLink"/>
                </w:rPr>
                <w:t xml:space="preserve">Form of Tranche B Common Warrant.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center"/>
              <w:rPr/>
            </w:pPr>
            <w:r>
              <w:rPr/>
              <w:t>001-39538</w:t>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center"/>
              <w:rPr/>
            </w:pPr>
            <w:r>
              <w:rPr/>
              <w:t>January 24, 2024</w:t>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4.2</w:t>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4.20</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r:id="rId32">
              <w:r>
                <w:rPr>
                  <w:rStyle w:val="InternetLink"/>
                </w:rPr>
                <w:t xml:space="preserve">Form of Pre-Funded Warrant.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center"/>
              <w:rPr/>
            </w:pPr>
            <w:r>
              <w:rPr/>
              <w:t>001-39538</w:t>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center"/>
              <w:rPr/>
            </w:pPr>
            <w:r>
              <w:rPr/>
              <w:t>January 24, 2024</w:t>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4.3</w:t>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4.21</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r:id="rId33">
              <w:r>
                <w:rPr>
                  <w:rStyle w:val="InternetLink"/>
                </w:rPr>
                <w:t>Form of Placement Agent Warrant</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center"/>
              <w:rPr/>
            </w:pPr>
            <w:r>
              <w:rPr/>
              <w:t>001-39538</w:t>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center"/>
              <w:rPr/>
            </w:pPr>
            <w:r>
              <w:rPr/>
              <w:t>January 24, 2024</w:t>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4.4</w:t>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4.22</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r:id="rId34">
              <w:r>
                <w:rPr>
                  <w:rStyle w:val="InternetLink"/>
                </w:rPr>
                <w:t xml:space="preserve">Form of Pre-Funded Warrant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center"/>
              <w:rPr/>
            </w:pPr>
            <w:r>
              <w:rPr/>
              <w:t>001-39538</w:t>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center"/>
              <w:rPr/>
            </w:pPr>
            <w:r>
              <w:rPr/>
              <w:t>June 24, 2026</w:t>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4.1</w:t>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4.23</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w:anchor="d169379dex423.htm">
              <w:r>
                <w:rPr>
                  <w:rStyle w:val="InternetLink"/>
                </w:rPr>
                <w:t xml:space="preserve">Form of Series A Warrant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center"/>
              <w:rPr/>
            </w:pPr>
            <w:r>
              <w:rPr/>
              <w:t>X</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4.24</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w:anchor="d169379dex424.htm">
              <w:r>
                <w:rPr>
                  <w:rStyle w:val="InternetLink"/>
                </w:rPr>
                <w:t xml:space="preserve">Form of Series B Warrant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center"/>
              <w:rPr/>
            </w:pPr>
            <w:r>
              <w:rPr/>
              <w:t>X</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4.25</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r:id="rId35">
              <w:r>
                <w:rPr>
                  <w:rStyle w:val="InternetLink"/>
                </w:rPr>
                <w:t xml:space="preserve">Form of Pre-Funded Warrant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center"/>
              <w:rPr/>
            </w:pPr>
            <w:r>
              <w:rPr/>
              <w:t>001-39538</w:t>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center"/>
              <w:rPr/>
            </w:pPr>
            <w:r>
              <w:rPr/>
              <w:t>June 24, 2026</w:t>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4.1</w:t>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5.1</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w:anchor="d169379dex51.htm">
              <w:r>
                <w:rPr>
                  <w:rStyle w:val="InternetLink"/>
                </w:rPr>
                <w:t xml:space="preserve">Opinion of Cooley LLP.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center"/>
              <w:rPr/>
            </w:pPr>
            <w:r>
              <w:rPr/>
              <w:t>X</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23.1</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w:anchor="d169379dex231.htm">
              <w:r>
                <w:rPr>
                  <w:rStyle w:val="InternetLink"/>
                </w:rPr>
                <w:t xml:space="preserve">Consent of Independent Registered Public Accounting Firm.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center"/>
              <w:rPr/>
            </w:pPr>
            <w:r>
              <w:rPr/>
              <w:t>X</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23.2</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w:anchor="d169379dex51.htm">
              <w:r>
                <w:rPr>
                  <w:rStyle w:val="InternetLink"/>
                </w:rPr>
                <w:t xml:space="preserve">Consent of Cooley LLP (included in Exhibit 5.1).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center"/>
              <w:rPr/>
            </w:pPr>
            <w:r>
              <w:rPr/>
              <w:t>X</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24.1</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w:anchor="sig">
              <w:r>
                <w:rPr>
                  <w:rStyle w:val="InternetLink"/>
                </w:rPr>
                <w:t xml:space="preserve">Power of Attorney (included on signature page).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center"/>
              <w:rPr/>
            </w:pPr>
            <w:r>
              <w:rPr/>
              <w:t>X</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c>
          <w:tcPr>
            <w:tcW w:w="805" w:type="dxa"/>
            <w:gridSpan w:val="2"/>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578"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107</w:t>
            </w:r>
          </w:p>
        </w:tc>
        <w:tc>
          <w:tcPr>
            <w:tcW w:w="252"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hyperlink w:anchor="d169379dexfilingfees.htm">
              <w:r>
                <w:rPr>
                  <w:rStyle w:val="InternetLink"/>
                </w:rPr>
                <w:t xml:space="preserve">Filing Fee Table </w:t>
              </w:r>
            </w:hyperlink>
          </w:p>
        </w:tc>
        <w:tc>
          <w:tcPr>
            <w:tcW w:w="213"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center"/>
              <w:rPr/>
            </w:pPr>
            <w:r>
              <w:rPr/>
              <w:t>X</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A copy of any omitted schedule and/or exhibit will be furnished to the SEC upon request.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0"/>
        <w:gridCol w:w="23"/>
        <w:gridCol w:w="513"/>
        <w:gridCol w:w="9259"/>
      </w:tblGrid>
      <w:tr>
        <w:trPr/>
        <w:tc>
          <w:tcPr>
            <w:tcW w:w="410" w:type="dxa"/>
            <w:tcBorders/>
          </w:tcPr>
          <w:p>
            <w:pPr>
              <w:pStyle w:val="TableContents"/>
              <w:bidi w:val="0"/>
              <w:spacing w:before="0" w:after="283"/>
              <w:jc w:val="left"/>
              <w:rPr/>
            </w:pPr>
            <w:r>
              <w:rPr/>
              <w:t>(a)</w:t>
            </w:r>
          </w:p>
        </w:tc>
        <w:tc>
          <w:tcPr>
            <w:tcW w:w="23" w:type="dxa"/>
            <w:tcBorders/>
          </w:tcPr>
          <w:p>
            <w:pPr>
              <w:pStyle w:val="TableContents"/>
              <w:bidi w:val="0"/>
              <w:spacing w:before="0" w:after="283"/>
              <w:jc w:val="left"/>
              <w:rPr>
                <w:sz w:val="4"/>
                <w:szCs w:val="4"/>
              </w:rPr>
            </w:pPr>
            <w:r>
              <w:rPr>
                <w:sz w:val="4"/>
                <w:szCs w:val="4"/>
              </w:rPr>
            </w:r>
          </w:p>
        </w:tc>
        <w:tc>
          <w:tcPr>
            <w:tcW w:w="513" w:type="dxa"/>
            <w:tcBorders/>
          </w:tcPr>
          <w:p>
            <w:pPr>
              <w:pStyle w:val="TableContents"/>
              <w:bidi w:val="0"/>
              <w:spacing w:before="0" w:after="283"/>
              <w:jc w:val="left"/>
              <w:rPr/>
            </w:pPr>
            <w:r>
              <w:rPr/>
              <w:t>(1)</w:t>
            </w:r>
          </w:p>
        </w:tc>
        <w:tc>
          <w:tcPr>
            <w:tcW w:w="925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La Jolla, State of California, on July 24,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CALCIMEDICA,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A. Rachel Leheny</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A. Rachel Leheny, Ph.D.</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A. Rachel Leheny, Ph.D. and Stephen Bardin, MBA,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CalciMedica,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582"/>
        <w:gridCol w:w="120"/>
        <w:gridCol w:w="4307"/>
        <w:gridCol w:w="203"/>
        <w:gridCol w:w="1993"/>
      </w:tblGrid>
      <w:tr>
        <w:trPr/>
        <w:tc>
          <w:tcPr>
            <w:tcW w:w="35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0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35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19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82" w:type="dxa"/>
            <w:tcBorders/>
            <w:vAlign w:val="center"/>
          </w:tcPr>
          <w:p>
            <w:pPr>
              <w:pStyle w:val="TableContents"/>
              <w:bidi w:val="0"/>
              <w:spacing w:before="0" w:after="283"/>
              <w:jc w:val="left"/>
              <w:rPr>
                <w:sz w:val="4"/>
                <w:szCs w:val="4"/>
              </w:rPr>
            </w:pPr>
            <w:r>
              <w:rPr>
                <w:sz w:val="4"/>
                <w:szCs w:val="4"/>
              </w:rPr>
            </w:r>
          </w:p>
        </w:tc>
        <w:tc>
          <w:tcPr>
            <w:tcW w:w="4427"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 RACHEL LEHENY</w:t>
            </w:r>
          </w:p>
          <w:p>
            <w:pPr>
              <w:pStyle w:val="TableContents"/>
              <w:bidi w:val="0"/>
              <w:spacing w:before="0" w:after="20"/>
              <w:jc w:val="center"/>
              <w:rPr>
                <w:rFonts w:ascii="Times New Roman" w:hAnsi="Times New Roman"/>
                <w:sz w:val="20"/>
              </w:rPr>
            </w:pPr>
            <w:r>
              <w:rPr>
                <w:rFonts w:ascii="Times New Roman" w:hAnsi="Times New Roman"/>
                <w:sz w:val="20"/>
              </w:rPr>
              <w:t>A. Rachel Leheny, Ph.D.</w:t>
            </w:r>
          </w:p>
        </w:tc>
        <w:tc>
          <w:tcPr>
            <w:tcW w:w="120" w:type="dxa"/>
            <w:tcBorders/>
            <w:vAlign w:val="bottom"/>
          </w:tcPr>
          <w:p>
            <w:pPr>
              <w:pStyle w:val="TableContents"/>
              <w:bidi w:val="0"/>
              <w:spacing w:before="0" w:after="283"/>
              <w:jc w:val="left"/>
              <w:rPr/>
            </w:pPr>
            <w:r>
              <w:rPr/>
              <w:t>  </w:t>
            </w:r>
          </w:p>
        </w:tc>
        <w:tc>
          <w:tcPr>
            <w:tcW w:w="4307" w:type="dxa"/>
            <w:tcBorders/>
          </w:tcPr>
          <w:p>
            <w:pPr>
              <w:pStyle w:val="TableContents"/>
              <w:bidi w:val="0"/>
              <w:spacing w:before="0" w:after="0"/>
              <w:jc w:val="center"/>
              <w:rPr>
                <w:rFonts w:ascii="Times New Roman" w:hAnsi="Times New Roman"/>
                <w:sz w:val="20"/>
              </w:rPr>
            </w:pPr>
            <w:r>
              <w:rPr>
                <w:rFonts w:ascii="Times New Roman" w:hAnsi="Times New Roman"/>
                <w:sz w:val="20"/>
              </w:rPr>
              <w:t xml:space="preserve">Chief Executive Officer and Director </w:t>
            </w:r>
            <w:r>
              <w:rPr>
                <w:rFonts w:ascii="Times New Roman" w:hAnsi="Times New Roman"/>
                <w:i/>
                <w:sz w:val="20"/>
              </w:rPr>
              <w:t>(Principal Executive Officer)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24, 2026</w:t>
            </w:r>
          </w:p>
        </w:tc>
      </w:tr>
      <w:tr>
        <w:trPr>
          <w:trHeight w:val="240" w:hRule="atLeast"/>
        </w:trPr>
        <w:tc>
          <w:tcPr>
            <w:tcW w:w="3582" w:type="dxa"/>
            <w:tcBorders/>
            <w:vAlign w:val="center"/>
          </w:tcPr>
          <w:p>
            <w:pPr>
              <w:pStyle w:val="TableContents"/>
              <w:bidi w:val="0"/>
              <w:spacing w:before="0" w:after="283"/>
              <w:jc w:val="left"/>
              <w:rPr>
                <w:sz w:val="4"/>
                <w:szCs w:val="4"/>
              </w:rPr>
            </w:pPr>
            <w:r>
              <w:rPr>
                <w:sz w:val="4"/>
                <w:szCs w:val="4"/>
              </w:rPr>
            </w:r>
          </w:p>
        </w:tc>
        <w:tc>
          <w:tcPr>
            <w:tcW w:w="4427"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BARDIN</w:t>
            </w:r>
          </w:p>
          <w:p>
            <w:pPr>
              <w:pStyle w:val="TableContents"/>
              <w:bidi w:val="0"/>
              <w:spacing w:before="0" w:after="20"/>
              <w:jc w:val="center"/>
              <w:rPr>
                <w:rFonts w:ascii="Times New Roman" w:hAnsi="Times New Roman"/>
                <w:sz w:val="20"/>
              </w:rPr>
            </w:pPr>
            <w:r>
              <w:rPr>
                <w:rFonts w:ascii="Times New Roman" w:hAnsi="Times New Roman"/>
                <w:sz w:val="20"/>
              </w:rPr>
              <w:t>Stephen Bardin, MBA</w:t>
            </w:r>
          </w:p>
        </w:tc>
        <w:tc>
          <w:tcPr>
            <w:tcW w:w="120" w:type="dxa"/>
            <w:tcBorders/>
            <w:vAlign w:val="bottom"/>
          </w:tcPr>
          <w:p>
            <w:pPr>
              <w:pStyle w:val="TableContents"/>
              <w:bidi w:val="0"/>
              <w:spacing w:before="0" w:after="283"/>
              <w:jc w:val="left"/>
              <w:rPr/>
            </w:pPr>
            <w:r>
              <w:rPr/>
              <w:t>  </w:t>
            </w:r>
          </w:p>
        </w:tc>
        <w:tc>
          <w:tcPr>
            <w:tcW w:w="4307"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and Accounting Officer)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24, 2026</w:t>
            </w:r>
          </w:p>
        </w:tc>
      </w:tr>
      <w:tr>
        <w:trPr>
          <w:trHeight w:val="240" w:hRule="atLeast"/>
        </w:trPr>
        <w:tc>
          <w:tcPr>
            <w:tcW w:w="3582" w:type="dxa"/>
            <w:tcBorders/>
            <w:vAlign w:val="center"/>
          </w:tcPr>
          <w:p>
            <w:pPr>
              <w:pStyle w:val="TableContents"/>
              <w:bidi w:val="0"/>
              <w:spacing w:before="0" w:after="283"/>
              <w:jc w:val="left"/>
              <w:rPr>
                <w:sz w:val="4"/>
                <w:szCs w:val="4"/>
              </w:rPr>
            </w:pPr>
            <w:r>
              <w:rPr>
                <w:sz w:val="4"/>
                <w:szCs w:val="4"/>
              </w:rPr>
            </w:r>
          </w:p>
        </w:tc>
        <w:tc>
          <w:tcPr>
            <w:tcW w:w="4427"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N. WILSON</w:t>
            </w:r>
          </w:p>
          <w:p>
            <w:pPr>
              <w:pStyle w:val="TableContents"/>
              <w:bidi w:val="0"/>
              <w:spacing w:before="0" w:after="20"/>
              <w:jc w:val="center"/>
              <w:rPr>
                <w:rFonts w:ascii="Times New Roman" w:hAnsi="Times New Roman"/>
                <w:sz w:val="20"/>
              </w:rPr>
            </w:pPr>
            <w:r>
              <w:rPr>
                <w:rFonts w:ascii="Times New Roman" w:hAnsi="Times New Roman"/>
                <w:sz w:val="20"/>
              </w:rPr>
              <w:t>Robert N. Wilson</w:t>
            </w:r>
          </w:p>
        </w:tc>
        <w:tc>
          <w:tcPr>
            <w:tcW w:w="120" w:type="dxa"/>
            <w:tcBorders/>
            <w:vAlign w:val="bottom"/>
          </w:tcPr>
          <w:p>
            <w:pPr>
              <w:pStyle w:val="TableContents"/>
              <w:bidi w:val="0"/>
              <w:spacing w:before="0" w:after="283"/>
              <w:jc w:val="left"/>
              <w:rPr/>
            </w:pPr>
            <w:r>
              <w:rPr/>
              <w:t>  </w:t>
            </w:r>
          </w:p>
        </w:tc>
        <w:tc>
          <w:tcPr>
            <w:tcW w:w="4307" w:type="dxa"/>
            <w:tcBorders/>
          </w:tcPr>
          <w:p>
            <w:pPr>
              <w:pStyle w:val="TableContents"/>
              <w:bidi w:val="0"/>
              <w:spacing w:before="0" w:after="0"/>
              <w:jc w:val="center"/>
              <w:rPr>
                <w:rFonts w:ascii="Times New Roman" w:hAnsi="Times New Roman"/>
                <w:sz w:val="20"/>
              </w:rPr>
            </w:pPr>
            <w:r>
              <w:rPr>
                <w:rFonts w:ascii="Times New Roman" w:hAnsi="Times New Roman"/>
                <w:sz w:val="20"/>
              </w:rPr>
              <w:t>Chairman</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24, 2026</w:t>
            </w:r>
          </w:p>
        </w:tc>
      </w:tr>
      <w:tr>
        <w:trPr>
          <w:trHeight w:val="240" w:hRule="atLeast"/>
        </w:trPr>
        <w:tc>
          <w:tcPr>
            <w:tcW w:w="3582" w:type="dxa"/>
            <w:tcBorders/>
            <w:vAlign w:val="center"/>
          </w:tcPr>
          <w:p>
            <w:pPr>
              <w:pStyle w:val="TableContents"/>
              <w:bidi w:val="0"/>
              <w:spacing w:before="0" w:after="283"/>
              <w:jc w:val="left"/>
              <w:rPr>
                <w:sz w:val="4"/>
                <w:szCs w:val="4"/>
              </w:rPr>
            </w:pPr>
            <w:r>
              <w:rPr>
                <w:sz w:val="4"/>
                <w:szCs w:val="4"/>
              </w:rPr>
            </w:r>
          </w:p>
        </w:tc>
        <w:tc>
          <w:tcPr>
            <w:tcW w:w="4427"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ALAN GLICKLICH</w:t>
            </w:r>
          </w:p>
          <w:p>
            <w:pPr>
              <w:pStyle w:val="TableContents"/>
              <w:bidi w:val="0"/>
              <w:spacing w:before="0" w:after="20"/>
              <w:jc w:val="center"/>
              <w:rPr>
                <w:rFonts w:ascii="Times New Roman" w:hAnsi="Times New Roman"/>
                <w:sz w:val="20"/>
              </w:rPr>
            </w:pPr>
            <w:r>
              <w:rPr>
                <w:rFonts w:ascii="Times New Roman" w:hAnsi="Times New Roman"/>
                <w:sz w:val="20"/>
              </w:rPr>
              <w:t>Alan Glicklich, M.D., MBA</w:t>
            </w:r>
          </w:p>
        </w:tc>
        <w:tc>
          <w:tcPr>
            <w:tcW w:w="120" w:type="dxa"/>
            <w:tcBorders/>
            <w:vAlign w:val="bottom"/>
          </w:tcPr>
          <w:p>
            <w:pPr>
              <w:pStyle w:val="TableContents"/>
              <w:bidi w:val="0"/>
              <w:spacing w:before="0" w:after="283"/>
              <w:jc w:val="left"/>
              <w:rPr/>
            </w:pPr>
            <w:r>
              <w:rPr/>
              <w:t>  </w:t>
            </w:r>
          </w:p>
        </w:tc>
        <w:tc>
          <w:tcPr>
            <w:tcW w:w="430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24, 2026</w:t>
            </w:r>
          </w:p>
        </w:tc>
      </w:tr>
      <w:tr>
        <w:trPr>
          <w:trHeight w:val="240" w:hRule="atLeast"/>
        </w:trPr>
        <w:tc>
          <w:tcPr>
            <w:tcW w:w="3582" w:type="dxa"/>
            <w:tcBorders/>
            <w:vAlign w:val="center"/>
          </w:tcPr>
          <w:p>
            <w:pPr>
              <w:pStyle w:val="TableContents"/>
              <w:bidi w:val="0"/>
              <w:spacing w:before="0" w:after="283"/>
              <w:jc w:val="left"/>
              <w:rPr>
                <w:sz w:val="4"/>
                <w:szCs w:val="4"/>
              </w:rPr>
            </w:pPr>
            <w:r>
              <w:rPr>
                <w:sz w:val="4"/>
                <w:szCs w:val="4"/>
              </w:rPr>
            </w:r>
          </w:p>
        </w:tc>
        <w:tc>
          <w:tcPr>
            <w:tcW w:w="4427"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FREDERIC GUERARD</w:t>
            </w:r>
          </w:p>
          <w:p>
            <w:pPr>
              <w:pStyle w:val="TableContents"/>
              <w:bidi w:val="0"/>
              <w:spacing w:before="0" w:after="20"/>
              <w:jc w:val="center"/>
              <w:rPr>
                <w:rFonts w:ascii="Times New Roman" w:hAnsi="Times New Roman"/>
                <w:sz w:val="20"/>
              </w:rPr>
            </w:pPr>
            <w:r>
              <w:rPr>
                <w:rFonts w:ascii="Times New Roman" w:hAnsi="Times New Roman"/>
                <w:sz w:val="20"/>
              </w:rPr>
              <w:t>Frederic Guerard, Pharm.D.</w:t>
            </w:r>
          </w:p>
        </w:tc>
        <w:tc>
          <w:tcPr>
            <w:tcW w:w="120" w:type="dxa"/>
            <w:tcBorders/>
            <w:vAlign w:val="bottom"/>
          </w:tcPr>
          <w:p>
            <w:pPr>
              <w:pStyle w:val="TableContents"/>
              <w:bidi w:val="0"/>
              <w:spacing w:before="0" w:after="283"/>
              <w:jc w:val="left"/>
              <w:rPr/>
            </w:pPr>
            <w:r>
              <w:rPr/>
              <w:t>  </w:t>
            </w:r>
          </w:p>
        </w:tc>
        <w:tc>
          <w:tcPr>
            <w:tcW w:w="430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24, 2026</w:t>
            </w:r>
          </w:p>
        </w:tc>
      </w:tr>
      <w:tr>
        <w:trPr>
          <w:trHeight w:val="240" w:hRule="atLeast"/>
        </w:trPr>
        <w:tc>
          <w:tcPr>
            <w:tcW w:w="3582" w:type="dxa"/>
            <w:tcBorders/>
            <w:vAlign w:val="center"/>
          </w:tcPr>
          <w:p>
            <w:pPr>
              <w:pStyle w:val="TableContents"/>
              <w:bidi w:val="0"/>
              <w:spacing w:before="0" w:after="283"/>
              <w:jc w:val="left"/>
              <w:rPr>
                <w:sz w:val="4"/>
                <w:szCs w:val="4"/>
              </w:rPr>
            </w:pPr>
            <w:r>
              <w:rPr>
                <w:sz w:val="4"/>
                <w:szCs w:val="4"/>
              </w:rPr>
            </w:r>
          </w:p>
        </w:tc>
        <w:tc>
          <w:tcPr>
            <w:tcW w:w="4427"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FRED MIDDLETON</w:t>
            </w:r>
          </w:p>
          <w:p>
            <w:pPr>
              <w:pStyle w:val="TableContents"/>
              <w:bidi w:val="0"/>
              <w:spacing w:before="0" w:after="20"/>
              <w:jc w:val="center"/>
              <w:rPr>
                <w:rFonts w:ascii="Times New Roman" w:hAnsi="Times New Roman"/>
                <w:sz w:val="20"/>
              </w:rPr>
            </w:pPr>
            <w:r>
              <w:rPr>
                <w:rFonts w:ascii="Times New Roman" w:hAnsi="Times New Roman"/>
                <w:sz w:val="20"/>
              </w:rPr>
              <w:t>Fred Middleton, MBA</w:t>
            </w:r>
          </w:p>
        </w:tc>
        <w:tc>
          <w:tcPr>
            <w:tcW w:w="120" w:type="dxa"/>
            <w:tcBorders/>
            <w:vAlign w:val="bottom"/>
          </w:tcPr>
          <w:p>
            <w:pPr>
              <w:pStyle w:val="TableContents"/>
              <w:bidi w:val="0"/>
              <w:spacing w:before="0" w:after="283"/>
              <w:jc w:val="left"/>
              <w:rPr/>
            </w:pPr>
            <w:r>
              <w:rPr/>
              <w:t>  </w:t>
            </w:r>
          </w:p>
        </w:tc>
        <w:tc>
          <w:tcPr>
            <w:tcW w:w="430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24,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567"/>
        <w:gridCol w:w="122"/>
        <w:gridCol w:w="4290"/>
        <w:gridCol w:w="205"/>
        <w:gridCol w:w="2021"/>
      </w:tblGrid>
      <w:tr>
        <w:trPr/>
        <w:tc>
          <w:tcPr>
            <w:tcW w:w="356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29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35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2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5"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67" w:type="dxa"/>
            <w:tcBorders/>
            <w:vAlign w:val="center"/>
          </w:tcPr>
          <w:p>
            <w:pPr>
              <w:pStyle w:val="TableContents"/>
              <w:bidi w:val="0"/>
              <w:spacing w:before="0" w:after="283"/>
              <w:jc w:val="left"/>
              <w:rPr>
                <w:sz w:val="4"/>
                <w:szCs w:val="4"/>
              </w:rPr>
            </w:pPr>
            <w:r>
              <w:rPr>
                <w:sz w:val="4"/>
                <w:szCs w:val="4"/>
              </w:rPr>
            </w:r>
          </w:p>
        </w:tc>
        <w:tc>
          <w:tcPr>
            <w:tcW w:w="4412"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r>
      <w:tr>
        <w:trPr/>
        <w:tc>
          <w:tcPr>
            <w:tcW w:w="356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ERIC W. ROBERTS</w:t>
            </w:r>
          </w:p>
          <w:p>
            <w:pPr>
              <w:pStyle w:val="TableContents"/>
              <w:bidi w:val="0"/>
              <w:spacing w:before="0" w:after="20"/>
              <w:jc w:val="center"/>
              <w:rPr>
                <w:rFonts w:ascii="Times New Roman" w:hAnsi="Times New Roman"/>
                <w:sz w:val="20"/>
              </w:rPr>
            </w:pPr>
            <w:r>
              <w:rPr>
                <w:rFonts w:ascii="Times New Roman" w:hAnsi="Times New Roman"/>
                <w:sz w:val="20"/>
              </w:rPr>
              <w:t>Eric W. Roberts</w:t>
            </w:r>
          </w:p>
        </w:tc>
        <w:tc>
          <w:tcPr>
            <w:tcW w:w="122" w:type="dxa"/>
            <w:tcBorders/>
            <w:vAlign w:val="bottom"/>
          </w:tcPr>
          <w:p>
            <w:pPr>
              <w:pStyle w:val="TableContents"/>
              <w:bidi w:val="0"/>
              <w:spacing w:before="0" w:after="283"/>
              <w:jc w:val="left"/>
              <w:rPr/>
            </w:pPr>
            <w:r>
              <w:rPr/>
              <w:t>  </w:t>
            </w:r>
          </w:p>
        </w:tc>
        <w:tc>
          <w:tcPr>
            <w:tcW w:w="429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5"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July 24, 2026</w:t>
            </w:r>
          </w:p>
        </w:tc>
      </w:tr>
      <w:tr>
        <w:trPr>
          <w:trHeight w:val="240" w:hRule="atLeast"/>
        </w:trPr>
        <w:tc>
          <w:tcPr>
            <w:tcW w:w="3567" w:type="dxa"/>
            <w:tcBorders/>
            <w:vAlign w:val="center"/>
          </w:tcPr>
          <w:p>
            <w:pPr>
              <w:pStyle w:val="TableContents"/>
              <w:bidi w:val="0"/>
              <w:spacing w:before="0" w:after="283"/>
              <w:jc w:val="left"/>
              <w:rPr>
                <w:sz w:val="4"/>
                <w:szCs w:val="4"/>
              </w:rPr>
            </w:pPr>
            <w:r>
              <w:rPr>
                <w:sz w:val="4"/>
                <w:szCs w:val="4"/>
              </w:rPr>
            </w:r>
          </w:p>
        </w:tc>
        <w:tc>
          <w:tcPr>
            <w:tcW w:w="4412"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r>
      <w:tr>
        <w:trPr/>
        <w:tc>
          <w:tcPr>
            <w:tcW w:w="356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ALLAN SHAW</w:t>
            </w:r>
          </w:p>
          <w:p>
            <w:pPr>
              <w:pStyle w:val="TableContents"/>
              <w:bidi w:val="0"/>
              <w:spacing w:before="0" w:after="20"/>
              <w:jc w:val="center"/>
              <w:rPr>
                <w:rFonts w:ascii="Times New Roman" w:hAnsi="Times New Roman"/>
                <w:sz w:val="20"/>
              </w:rPr>
            </w:pPr>
            <w:r>
              <w:rPr>
                <w:rFonts w:ascii="Times New Roman" w:hAnsi="Times New Roman"/>
                <w:sz w:val="20"/>
              </w:rPr>
              <w:t>Allan Shaw</w:t>
            </w:r>
          </w:p>
        </w:tc>
        <w:tc>
          <w:tcPr>
            <w:tcW w:w="122" w:type="dxa"/>
            <w:tcBorders/>
            <w:vAlign w:val="bottom"/>
          </w:tcPr>
          <w:p>
            <w:pPr>
              <w:pStyle w:val="TableContents"/>
              <w:bidi w:val="0"/>
              <w:spacing w:before="0" w:after="283"/>
              <w:jc w:val="left"/>
              <w:rPr/>
            </w:pPr>
            <w:r>
              <w:rPr/>
              <w:t>  </w:t>
            </w:r>
          </w:p>
        </w:tc>
        <w:tc>
          <w:tcPr>
            <w:tcW w:w="429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5"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July 24, 2026</w:t>
            </w:r>
          </w:p>
        </w:tc>
      </w:tr>
      <w:tr>
        <w:trPr>
          <w:trHeight w:val="240" w:hRule="atLeast"/>
        </w:trPr>
        <w:tc>
          <w:tcPr>
            <w:tcW w:w="3567" w:type="dxa"/>
            <w:tcBorders/>
            <w:vAlign w:val="center"/>
          </w:tcPr>
          <w:p>
            <w:pPr>
              <w:pStyle w:val="TableContents"/>
              <w:bidi w:val="0"/>
              <w:spacing w:before="0" w:after="283"/>
              <w:jc w:val="left"/>
              <w:rPr>
                <w:sz w:val="4"/>
                <w:szCs w:val="4"/>
              </w:rPr>
            </w:pPr>
            <w:r>
              <w:rPr>
                <w:sz w:val="4"/>
                <w:szCs w:val="4"/>
              </w:rPr>
            </w:r>
          </w:p>
        </w:tc>
        <w:tc>
          <w:tcPr>
            <w:tcW w:w="4412"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r>
      <w:tr>
        <w:trPr/>
        <w:tc>
          <w:tcPr>
            <w:tcW w:w="356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 xml:space="preserve">/S/ EVGENY ZAYTSEV </w:t>
            </w:r>
          </w:p>
          <w:p>
            <w:pPr>
              <w:pStyle w:val="TableContents"/>
              <w:bidi w:val="0"/>
              <w:spacing w:before="0" w:after="20"/>
              <w:jc w:val="center"/>
              <w:rPr>
                <w:rFonts w:ascii="Times New Roman" w:hAnsi="Times New Roman"/>
                <w:sz w:val="20"/>
              </w:rPr>
            </w:pPr>
            <w:r>
              <w:rPr>
                <w:rFonts w:ascii="Times New Roman" w:hAnsi="Times New Roman"/>
                <w:sz w:val="20"/>
              </w:rPr>
              <w:t>Evgeny Zaytsev, M.D., Ph.D.</w:t>
            </w:r>
          </w:p>
        </w:tc>
        <w:tc>
          <w:tcPr>
            <w:tcW w:w="122" w:type="dxa"/>
            <w:tcBorders/>
            <w:vAlign w:val="bottom"/>
          </w:tcPr>
          <w:p>
            <w:pPr>
              <w:pStyle w:val="TableContents"/>
              <w:bidi w:val="0"/>
              <w:spacing w:before="0" w:after="283"/>
              <w:jc w:val="left"/>
              <w:rPr/>
            </w:pPr>
            <w:r>
              <w:rPr/>
              <w:t>  </w:t>
            </w:r>
          </w:p>
        </w:tc>
        <w:tc>
          <w:tcPr>
            <w:tcW w:w="429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5" w:type="dxa"/>
            <w:tcBorders/>
            <w:vAlign w:val="bottom"/>
          </w:tcPr>
          <w:p>
            <w:pPr>
              <w:pStyle w:val="TableContents"/>
              <w:bidi w:val="0"/>
              <w:spacing w:before="0" w:after="283"/>
              <w:jc w:val="left"/>
              <w:rPr/>
            </w:pPr>
            <w:r>
              <w:rPr/>
              <w:t> </w:t>
            </w:r>
          </w:p>
        </w:tc>
        <w:tc>
          <w:tcPr>
            <w:tcW w:w="2021" w:type="dxa"/>
            <w:tcBorders/>
          </w:tcPr>
          <w:p>
            <w:pPr>
              <w:pStyle w:val="TableContents"/>
              <w:bidi w:val="0"/>
              <w:spacing w:before="0" w:after="283"/>
              <w:jc w:val="center"/>
              <w:rPr/>
            </w:pPr>
            <w:r>
              <w:rPr/>
              <w:t>July 24, 2026</w:t>
            </w:r>
          </w:p>
        </w:tc>
      </w:tr>
    </w:tbl>
    <w:p>
      <w:pPr>
        <w:pStyle w:val="TextBody"/>
        <w:bidi w:val="0"/>
        <w:spacing w:before="0" w:after="0"/>
        <w:jc w:val="right"/>
        <w:rPr>
          <w:rFonts w:ascii="Times New Roman" w:hAnsi="Times New Roman"/>
          <w:b/>
          <w:sz w:val="20"/>
        </w:rPr>
      </w:pPr>
      <w:bookmarkStart w:id="15" w:name="d169379dex423.htm"/>
      <w:bookmarkStart w:id="16" w:name="ksd169379dex423"/>
      <w:bookmarkEnd w:id="15"/>
      <w:bookmarkEnd w:id="16"/>
      <w:r>
        <w:rPr>
          <w:rFonts w:ascii="Times New Roman" w:hAnsi="Times New Roman"/>
          <w:b/>
          <w:sz w:val="20"/>
        </w:rPr>
        <w:t xml:space="preserve">Exhibit 4.23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left"/>
        <w:rPr>
          <w:rFonts w:ascii="Times New Roman" w:hAnsi="Times New Roman"/>
          <w:sz w:val="20"/>
        </w:rPr>
      </w:pPr>
      <w:r>
        <w:rPr>
          <w:rFonts w:ascii="Times New Roman" w:hAnsi="Times New Roman"/>
          <w:b/>
          <w:sz w:val="20"/>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hAnsi="Times New Roman"/>
          <w:sz w:val="20"/>
        </w:rPr>
        <w:t>“</w:t>
      </w:r>
      <w:r>
        <w:rPr>
          <w:rFonts w:ascii="Times New Roman" w:hAnsi="Times New Roman"/>
          <w:b/>
          <w:sz w:val="20"/>
        </w:rPr>
        <w:t>SECURITIES ACT</w:t>
      </w:r>
      <w:r>
        <w:rPr>
          <w:rFonts w:ascii="Times New Roman" w:hAnsi="Times New Roman"/>
          <w:sz w:val="20"/>
        </w:rPr>
        <w:t>”</w:t>
      </w:r>
      <w:r>
        <w:rPr>
          <w:rFonts w:ascii="Times New Roman" w:hAnsi="Times New Roman"/>
          <w:b/>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SERIES A WARRANT] </w:t>
      </w:r>
    </w:p>
    <w:p>
      <w:pPr>
        <w:pStyle w:val="TextBody"/>
        <w:bidi w:val="0"/>
        <w:spacing w:before="24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240" w:after="0"/>
        <w:jc w:val="center"/>
        <w:rPr>
          <w:rFonts w:ascii="Times New Roman" w:hAnsi="Times New Roman"/>
          <w:b/>
          <w:sz w:val="20"/>
        </w:rPr>
      </w:pPr>
      <w:r>
        <w:rPr>
          <w:rFonts w:ascii="Times New Roman" w:hAnsi="Times New Roman"/>
          <w:b/>
          <w:sz w:val="20"/>
        </w:rPr>
        <w:t xml:space="preserve">SERIES A WARRANT TO PURCHASE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Warrant No.: Series A-[_]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Common Stock or Pre-Funded Warrants: [_] </w:t>
      </w:r>
    </w:p>
    <w:p>
      <w:pPr>
        <w:pStyle w:val="TextBody"/>
        <w:bidi w:val="0"/>
        <w:spacing w:before="240" w:after="0"/>
        <w:jc w:val="left"/>
        <w:rPr>
          <w:rFonts w:ascii="Times New Roman" w:hAnsi="Times New Roman"/>
          <w:sz w:val="20"/>
        </w:rPr>
      </w:pPr>
      <w:r>
        <w:rPr>
          <w:rFonts w:ascii="Times New Roman" w:hAnsi="Times New Roman"/>
          <w:sz w:val="20"/>
        </w:rPr>
        <w:t>Date of Issuance: Stockholder Approval Date (as defined in the Purchase Agreement) (“</w:t>
      </w:r>
      <w:r>
        <w:rPr>
          <w:rFonts w:ascii="Times New Roman" w:hAnsi="Times New Roman"/>
          <w:b/>
          <w:i/>
          <w:sz w:val="20"/>
        </w:rPr>
        <w:t>Issuance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CalciMedica, Inc., a company organized under the laws of Delaware (the “</w:t>
      </w:r>
      <w:r>
        <w:rPr>
          <w:rFonts w:ascii="Times New Roman" w:hAnsi="Times New Roman"/>
          <w:b/>
          <w:i/>
          <w:sz w:val="20"/>
        </w:rPr>
        <w:t>Company</w:t>
      </w:r>
      <w:r>
        <w:rPr>
          <w:rFonts w:ascii="Times New Roman" w:hAnsi="Times New Roman"/>
          <w:sz w:val="20"/>
        </w:rPr>
        <w:t>”), hereby certifies that, for good and valuable consideration, the receipt and sufficiency of which are hereby acknowledged, [HOLDER], the registered holder hereof or its permitted assigns (the “</w:t>
      </w:r>
      <w:r>
        <w:rPr>
          <w:rFonts w:ascii="Times New Roman" w:hAnsi="Times New Roman"/>
          <w:b/>
          <w:i/>
          <w:sz w:val="20"/>
        </w:rPr>
        <w:t>Holder</w:t>
      </w:r>
      <w:r>
        <w:rPr>
          <w:rFonts w:ascii="Times New Roman" w:hAnsi="Times New Roman"/>
          <w:sz w:val="20"/>
        </w:rPr>
        <w:t>”), is entitled, subject to the terms set forth below, to purchase from the Company, at the Exercise Price (as defined below) then in effect, at any time, and from time to time, following the Issuance Date, but not after 11:59 p.m., New York time, on the Expiration Date (the “</w:t>
      </w:r>
      <w:r>
        <w:rPr>
          <w:rFonts w:ascii="Times New Roman" w:hAnsi="Times New Roman"/>
          <w:b/>
          <w:i/>
          <w:sz w:val="20"/>
        </w:rPr>
        <w:t>Exercisability Period</w:t>
      </w:r>
      <w:r>
        <w:rPr>
          <w:rFonts w:ascii="Times New Roman" w:hAnsi="Times New Roman"/>
          <w:sz w:val="20"/>
        </w:rPr>
        <w:t>”), either (x) [______________ (_____________)] fully paid non-assessable shares of Common Stock (as defined below), subject to adjustment as provided herein (the “</w:t>
      </w:r>
      <w:r>
        <w:rPr>
          <w:rFonts w:ascii="Times New Roman" w:hAnsi="Times New Roman"/>
          <w:b/>
          <w:i/>
          <w:sz w:val="20"/>
        </w:rPr>
        <w:t>Warrant Shares</w:t>
      </w:r>
      <w:r>
        <w:rPr>
          <w:rFonts w:ascii="Times New Roman" w:hAnsi="Times New Roman"/>
          <w:sz w:val="20"/>
        </w:rPr>
        <w:t>”), or, (y) in lieu of all or a portion of such Warrant Shares, pre-funded warrants to purchase up to [______________ (_____________)] shares of Common Stock for a future exercise price of $0.0001 (the “</w:t>
      </w:r>
      <w:r>
        <w:rPr>
          <w:rFonts w:ascii="Times New Roman" w:hAnsi="Times New Roman"/>
          <w:b/>
          <w:i/>
          <w:sz w:val="20"/>
        </w:rPr>
        <w:t>Pre-Funded Warrants</w:t>
      </w:r>
      <w:r>
        <w:rPr>
          <w:rFonts w:ascii="Times New Roman" w:hAnsi="Times New Roman"/>
          <w:sz w:val="20"/>
        </w:rPr>
        <w:t xml:space="preserve">”), in the form attached hereto as </w:t>
      </w:r>
      <w:r>
        <w:rPr>
          <w:rFonts w:ascii="Times New Roman" w:hAnsi="Times New Roman"/>
          <w:sz w:val="20"/>
          <w:u w:val="single"/>
        </w:rPr>
        <w:t>Exhibit B</w:t>
      </w:r>
      <w:r>
        <w:rPr>
          <w:rFonts w:ascii="Times New Roman" w:hAnsi="Times New Roman"/>
          <w:sz w:val="20"/>
        </w:rPr>
        <w:t>, with such choice between Warrant Shares and Pre-Funded Warrants determined by the Maximum Percentage (as defined below). Except as otherwise defined herein, capitalized terms in this Series A Warrant to Purchase Common Stock or Pre-Funded Warrants (including any Series A Warrants to Purchase Common Stock or Pre-Funded Warrants issued in exchange, transfer or replacement hereof, this “</w:t>
      </w:r>
      <w:r>
        <w:rPr>
          <w:rFonts w:ascii="Times New Roman" w:hAnsi="Times New Roman"/>
          <w:b/>
          <w:i/>
          <w:sz w:val="20"/>
        </w:rPr>
        <w:t>Warrant</w:t>
      </w:r>
      <w:r>
        <w:rPr>
          <w:rFonts w:ascii="Times New Roman" w:hAnsi="Times New Roman"/>
          <w:sz w:val="20"/>
        </w:rPr>
        <w:t>”), shall have the meanings set forth in Section 16. This Warrant is one of the Series A Warrants to Purchase Common Stock or Pre-Funded Warrants (the “</w:t>
      </w:r>
      <w:r>
        <w:rPr>
          <w:rFonts w:ascii="Times New Roman" w:hAnsi="Times New Roman"/>
          <w:b/>
          <w:i/>
          <w:sz w:val="20"/>
        </w:rPr>
        <w:t>Other Warrants</w:t>
      </w:r>
      <w:r>
        <w:rPr>
          <w:rFonts w:ascii="Times New Roman" w:hAnsi="Times New Roman"/>
          <w:sz w:val="20"/>
        </w:rPr>
        <w:t>”) issued pursuant to that certain Securities Purchase Agreement (the “</w:t>
      </w:r>
      <w:r>
        <w:rPr>
          <w:rFonts w:ascii="Times New Roman" w:hAnsi="Times New Roman"/>
          <w:b/>
          <w:i/>
          <w:sz w:val="20"/>
        </w:rPr>
        <w:t>Purchase Agreement</w:t>
      </w:r>
      <w:r>
        <w:rPr>
          <w:rFonts w:ascii="Times New Roman" w:hAnsi="Times New Roman"/>
          <w:sz w:val="20"/>
        </w:rPr>
        <w:t>”), dated as of June 23, 2026 (the “</w:t>
      </w:r>
      <w:r>
        <w:rPr>
          <w:rFonts w:ascii="Times New Roman" w:hAnsi="Times New Roman"/>
          <w:b/>
          <w:i/>
          <w:sz w:val="20"/>
        </w:rPr>
        <w:t>Subscription Date</w:t>
      </w:r>
      <w:r>
        <w:rPr>
          <w:rFonts w:ascii="Times New Roman" w:hAnsi="Times New Roman"/>
          <w:sz w:val="20"/>
        </w:rPr>
        <w:t xml:space="preserve">”), by and between the Company and the Purchasers on the signature pages thereto.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EXERCISE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Mechanics of Exercise</w:t>
      </w:r>
      <w:r>
        <w:rPr>
          <w:rFonts w:ascii="Times New Roman" w:hAnsi="Times New Roman"/>
          <w:sz w:val="20"/>
        </w:rPr>
        <w:t xml:space="preserve">. Subject to the terms and conditions hereof (including, without limitation, the limitations set forth in Section 1(f)), this Warrant may be exercised by the Holder at any time or times during the Exercisability Period, in whole or in part, by delivery (whether via electronic mail or otherwise) of a written notice,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Exercise Notice</w:t>
      </w:r>
      <w:r>
        <w:rPr>
          <w:rFonts w:ascii="Times New Roman" w:hAnsi="Times New Roman"/>
          <w:sz w:val="20"/>
        </w:rPr>
        <w:t xml:space="preserve">”) (and such date on which the Exercise Notice is delivered (as determined in accordance with </w:t>
      </w:r>
      <w:r>
        <w:rPr>
          <w:rFonts w:ascii="Times New Roman" w:hAnsi="Times New Roman"/>
          <w:sz w:val="20"/>
          <w:u w:val="single"/>
        </w:rPr>
        <w:t>Section 8</w:t>
      </w:r>
      <w:r>
        <w:rPr>
          <w:rFonts w:ascii="Times New Roman" w:hAnsi="Times New Roman"/>
          <w:sz w:val="20"/>
        </w:rPr>
        <w:t xml:space="preserve"> hereof), the “</w:t>
      </w:r>
      <w:r>
        <w:rPr>
          <w:rFonts w:ascii="Times New Roman" w:hAnsi="Times New Roman"/>
          <w:b/>
          <w:i/>
          <w:sz w:val="20"/>
        </w:rPr>
        <w:t>Exercise Date</w:t>
      </w:r>
      <w:r>
        <w:rPr>
          <w:rFonts w:ascii="Times New Roman" w:hAnsi="Times New Roman"/>
          <w:sz w:val="20"/>
        </w:rPr>
        <w:t>”), of the Holder’s election to exercise this Warrant. Within one (1) Trading Day following delivery of the Exercise Notice, the Holder shall pay to the Company of an amount equal to the Exercise Price in effect on the date of such exercise, as applicable to the exercise of the Warrant Shares or the Pre-Funded Warrants, multiplied by the number of Warrant Shares or Pre-Funded Warrants as to which this Warrant is being exercised (the “</w:t>
      </w:r>
      <w:r>
        <w:rPr>
          <w:rFonts w:ascii="Times New Roman" w:hAnsi="Times New Roman"/>
          <w:b/>
          <w:i/>
          <w:sz w:val="20"/>
        </w:rPr>
        <w:t>Aggregate Exercise Price</w:t>
      </w:r>
      <w:r>
        <w:rPr>
          <w:rFonts w:ascii="Times New Roman" w:hAnsi="Times New Roman"/>
          <w:sz w:val="20"/>
        </w:rPr>
        <w:t xml:space="preserve">”), or, if the provisions of Section 1(c) are applicable by notifying the Company that this Warrant is being exercised pursuant to a Cashless Exercise (as defined in Section 1(c)) in cash by wire transfer of immediately available. The Holder shall not be required to deliver the original Warrant in order to effect an exercise hereunder, nor shall any ink-original signature or medallion guarantee (or other type of guarantee or notarization) with respect to any Exercise Notice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Execution and delivery of the Exercise Notice with respect to less than all of the Warrant Shares or Pre-Funded Warrants shall have the same effect as cancellation of the original Warrant and issuance of a new Warrant evidencing the right to purchase the remaining number of Warrant Shares or Pre-Funded Warrants and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five (5) Trading Days of the date on which the final Exercise Notice has been delivered to the Company. On the Exercise Date, the Company shall transmit by electronic mail an acknowledgment of confirmation of receipt of the Exercise Notice and Aggregate Exercise Price to the Holder and the Company’s transfer agent (the “</w:t>
      </w:r>
      <w:r>
        <w:rPr>
          <w:rFonts w:ascii="Times New Roman" w:hAnsi="Times New Roman"/>
          <w:b/>
          <w:i/>
          <w:sz w:val="20"/>
        </w:rPr>
        <w:t>Transfer Agent</w:t>
      </w:r>
      <w:r>
        <w:rPr>
          <w:rFonts w:ascii="Times New Roman" w:hAnsi="Times New Roman"/>
          <w:sz w:val="20"/>
        </w:rPr>
        <w:t>”). Upon exercise of this Warrant, if there is an effective registration statement permitting the issuance of the Warrant Shares to or the resale of such Warrant Shares by the Holder (“</w:t>
      </w:r>
      <w:r>
        <w:rPr>
          <w:rFonts w:ascii="Times New Roman" w:hAnsi="Times New Roman"/>
          <w:b/>
          <w:i/>
          <w:sz w:val="20"/>
        </w:rPr>
        <w:t>Registration Condition</w:t>
      </w:r>
      <w:r>
        <w:rPr>
          <w:rFonts w:ascii="Times New Roman" w:hAnsi="Times New Roman"/>
          <w:sz w:val="20"/>
        </w:rPr>
        <w:t>”), the Company shall promptly (but in no event later than the number of Trading Days compromising the Standard Settlement Period following the Exercise Date provided that the Aggregate Exercise Price has been received by the Company before 12:00 p.m. Eastern Time on such date, and if not, the Trading Day following receipt of such Aggregate Exercise Price (such date, the “</w:t>
      </w:r>
      <w:r>
        <w:rPr>
          <w:rFonts w:ascii="Times New Roman" w:hAnsi="Times New Roman"/>
          <w:b/>
          <w:i/>
          <w:sz w:val="20"/>
        </w:rPr>
        <w:t>Delivery Date</w:t>
      </w:r>
      <w:r>
        <w:rPr>
          <w:rFonts w:ascii="Times New Roman" w:hAnsi="Times New Roman"/>
          <w:sz w:val="20"/>
        </w:rPr>
        <w:t>”)), cause the Transfer Agent to (x) if the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w:t>
      </w:r>
      <w:r>
        <w:rPr>
          <w:rFonts w:ascii="Times New Roman" w:hAnsi="Times New Roman"/>
          <w:b/>
          <w:i/>
          <w:sz w:val="20"/>
        </w:rPr>
        <w:t>FAST</w:t>
      </w:r>
      <w:r>
        <w:rPr>
          <w:rFonts w:ascii="Times New Roman" w:hAnsi="Times New Roman"/>
          <w:sz w:val="20"/>
        </w:rPr>
        <w:t>”), credit such aggregate number of Warrant Shares to which the Holder is entitled pursuant to such exercise to the Holder’s or its designee’s balance account with DTC through its Deposit / Withdrawal At Custodian system or (y) if the Transfer Agent is not participating in FAST, credit such aggregate number of Warrant Shares to which the Holder is entitled pursuant to such exercise to the Holder’s or its designee’s balance account in book entry form via a direct registration system (“</w:t>
      </w:r>
      <w:r>
        <w:rPr>
          <w:rFonts w:ascii="Times New Roman" w:hAnsi="Times New Roman"/>
          <w:b/>
          <w:i/>
          <w:sz w:val="20"/>
        </w:rPr>
        <w:t>DRS</w:t>
      </w:r>
      <w:r>
        <w:rPr>
          <w:rFonts w:ascii="Times New Roman" w:hAnsi="Times New Roman"/>
          <w:sz w:val="20"/>
        </w:rPr>
        <w:t>”) maintained by or on behalf of the Transfer Agent. If the Registration Condition is not met or the exercise is for Pre-Funded Warrants and not Warrant Shares, as applicable, (i) the Transfer Agent will, by the Delivery Date, at the request of the Holder, either (A) issue and dispatch by overnight courier to the address as specified in the Exercise Notice, a certificate registered in the name of the Holder or its designee, for the number of Warrant Shares to which the Holder is entitled pursuant to such exercise with an appropriate legend regarding restriction on transferability or (B) issue and record in the name of the Holder or its designee the number of Warrant Shares to which the Holder is entitled pursuant to such exercise in restricted book-entry form in the Company’s share register and deliver an electronic statement of such issuance to the electronic mail address as specified in the Exercise Notice and/or (ii) the warrant agent for the Pre-Funded Warrants (the “</w:t>
      </w:r>
      <w:r>
        <w:rPr>
          <w:rFonts w:ascii="Times New Roman" w:hAnsi="Times New Roman"/>
          <w:b/>
          <w:i/>
          <w:sz w:val="20"/>
        </w:rPr>
        <w:t>PFW Agent</w:t>
      </w:r>
      <w:r>
        <w:rPr>
          <w:rFonts w:ascii="Times New Roman" w:hAnsi="Times New Roman"/>
          <w:sz w:val="20"/>
        </w:rPr>
        <w:t xml:space="preserve">”) will, by the Delivery Date, issue and dispatch by overnight courier or electronic mail (at the request of the Holder) to the address as specified in the Exercise Notice, Pre-Funded Warrants registered in the name of the Holder or its designee, exercisable for the number of shares of Common Stock to which the Holder is entitled pursuant to such exercise. The Company shall be responsible for all fees and expenses of the Transfer Agent, the PFW Agent and all fees and expenses with respect to the issuance of Warrant Shares via DTC, if any. Upon the Exercise Date, the Holder shall be deemed solely for purposes of Regulation SHO to have become the holder of record and beneficial owner of the Warrant Shares or Pre-Funded Warrants with respect to which this Warrant has been exercised, irrespective of the date such Warrant Shares are credited to the Holder’s DTC account or the date of delivery of the certificates evidencing such Warrant Shares or the Pre-Funded Warrants. If this Warrant is physically delivered to the Company in connection with any exercise pursuant to this Section 1(a) and the number of Warrant Shares or Pre-Funded Warrants represented by this Warrant submitted for exercise is greater than the number of Warrant Shares or Pre-Funded Warrants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or Pre-Funded Warrants issuable immediately prior to such exercise under this Warrant, less the number of Warrant Shares or Pre-Funded Warrants with respect to which this Warrant is exercised. No fractional Warrant Shares or Pre-Funded Warrants are to be issued upon the exercise of this Warrant, but rather the number of Warrant Shares or Pre-Funded Warrants to be issued shall be rounded down to the nearest whole number. The Company shall pay any and all transfer, stamp, issuance and similar taxes, costs and expenses (including, without limitation, fees and expenses of the Transfer Agent and the PFW Agent) which may be payable with respect to the issuance and delivery of Warrant Shares or Pre-Funded Warrants upon exercise of this Warrant. The Company’s obligations to issue and deliver Warrant Shares or Pre-Funded Warrants in accordance with the terms and subject to the conditions hereof (including payment of the Aggregate Exercise Price)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For purposes of this Warrant, “</w:t>
      </w:r>
      <w:r>
        <w:rPr>
          <w:rFonts w:ascii="Times New Roman" w:hAnsi="Times New Roman"/>
          <w:b/>
          <w:i/>
          <w:sz w:val="20"/>
        </w:rPr>
        <w:t>Exercise Price</w:t>
      </w:r>
      <w:r>
        <w:rPr>
          <w:rFonts w:ascii="Times New Roman" w:hAnsi="Times New Roman"/>
          <w:sz w:val="20"/>
        </w:rPr>
        <w:t xml:space="preserve">” means $0.8033 per share for Warrant Shares and $0.8032 per share for each share of Common Stock underlying the Pre-Funded Warrants,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Notwithstanding anything herein to the contrary, if following the date that is six (6) months following the Issuance Date of this Warrant, a registration statement covering the resale of the Exercise Notice Warrant Shares (as defined in Section 1(d)) is not available for the resale of such Exercise Notice Warrant Shares,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Markets)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Commission continues to take the position that such treatment is proper at the time of such exercise). In the event that a registration statement registering the resale of Warrant Shares is, for any reason, not effective at the time of exercise of this Warrant, then the Warrant may only be exercised through a cashless exercise, as set forth in this Section 1(c). If the Warrant Shares are issued in such a cashless exercise, the Company acknowledges and agrees that, in accordance with Section 3(a)(9) of the Securities Act, the Exercise Notice Warrant Shares issued in such exercise shall take on the registered characteristics of the Warrants being exercised and may be tacked on to the holding period of the Warrants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Company’s Failure to Timely Deliver Securities</w:t>
      </w:r>
      <w:r>
        <w:rPr>
          <w:rFonts w:ascii="Times New Roman" w:hAnsi="Times New Roman"/>
          <w:sz w:val="20"/>
        </w:rPr>
        <w:t>. If either (I) the Company shall fail for any reason or for no reason to issue or cause the issuance to the Holder or its designee of the Warrant Shares or Pre-Funded Warrants that are the subject of the Exercise Notice (the “</w:t>
      </w:r>
      <w:r>
        <w:rPr>
          <w:rFonts w:ascii="Times New Roman" w:hAnsi="Times New Roman"/>
          <w:b/>
          <w:i/>
          <w:sz w:val="20"/>
        </w:rPr>
        <w:t>Exercise Notice Warrant Shares</w:t>
      </w:r>
      <w:r>
        <w:rPr>
          <w:rFonts w:ascii="Times New Roman" w:hAnsi="Times New Roman"/>
          <w:sz w:val="20"/>
        </w:rPr>
        <w:t>” or “</w:t>
      </w:r>
      <w:r>
        <w:rPr>
          <w:rFonts w:ascii="Times New Roman" w:hAnsi="Times New Roman"/>
          <w:b/>
          <w:i/>
          <w:sz w:val="20"/>
        </w:rPr>
        <w:t>Exercise Notice Pre-Funded Warrants</w:t>
      </w:r>
      <w:r>
        <w:rPr>
          <w:rFonts w:ascii="Times New Roman" w:hAnsi="Times New Roman"/>
          <w:sz w:val="20"/>
        </w:rPr>
        <w:t>”, as applicable) on or prior to the applicable Delivery Date or (II) the Registration Condition is not met with respect to the Exercise Notice Warrant Shares and (x) the Company fails to promptly, but in no event later than one (1) Business Day after such registration statement becomes unavailable, to so notify the Holder and (y) the Company is unable to deliver the Exercise Notice Warrant Shares electronically by the Delivery Date without any restrictive legend by crediting such aggregate number of Exercise Notice Warrant Shares to the Holder’s or its designee’s balance account with DTC through its Deposit / Withdrawal At Custodian system or in book entry from via a DRS, as applicable, (the event described in the immediately foregoing clause (II) together with the event described in clause (I) above, an “</w:t>
      </w:r>
      <w:r>
        <w:rPr>
          <w:rFonts w:ascii="Times New Roman" w:hAnsi="Times New Roman"/>
          <w:b/>
          <w:i/>
          <w:sz w:val="20"/>
        </w:rPr>
        <w:t>Exercise Failure</w:t>
      </w:r>
      <w:r>
        <w:rPr>
          <w:rFonts w:ascii="Times New Roman" w:hAnsi="Times New Roman"/>
          <w:sz w:val="20"/>
        </w:rPr>
        <w:t>”), in each case other than any failure caused by incorrect or incomplete information provided by the Holder to the Company, and following the applicable Delivery Date the Holder is required by its broker to purchase (in an open market transaction or otherwise) or the Holder’s brokerage firm otherwise purchases, shares of Common Stock to deliver in satisfaction of a sale by the Holder of the Warrant Shares or Pre-Funded Warrants which the Holder anticipated receiving upon such exercise (a “</w:t>
      </w:r>
      <w:r>
        <w:rPr>
          <w:rFonts w:ascii="Times New Roman" w:hAnsi="Times New Roman"/>
          <w:b/>
          <w:i/>
          <w:sz w:val="20"/>
        </w:rPr>
        <w:t>Buy-In</w:t>
      </w:r>
      <w:r>
        <w:rPr>
          <w:rFonts w:ascii="Times New Roman" w:hAnsi="Times New Roman"/>
          <w:sz w:val="20"/>
        </w:rPr>
        <w:t xml:space="preserve">”), then, in addition to all other remedies available to the Holder,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Pre-Funded Warrants that the Company was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 to the Holder in connection with the exercise at issue times (2) the price at which the sell order giving rise to such purchase obligation was executed, and (B) at the option of the Holder, either reinstate the portion of the Warrant and equivalent number of Warrant Shares or Pre-Funded Warrants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Pre-Funded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rescission of an exercise shall not affect the Company’s obligation to make any payments that have accrued prior to the date of such notice pursuant to this Section 1(d) or otherwise, and (ii) if the Registration Condition is not met with respect to the Exercise Notice Warrant Shares and the Holder has submitted an Exercise Notice prior to receiving notice of the non-availability of such registration statement and the Company has not already delivered the Exercise Notice Warrant Shares electronically without any restrictive legend by crediting such aggregate number of Exercise Notice Warrant Shares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rescission of an Exercise Notice shall not affect the Company’s obligation to make any payments that have accrued prior to the date of such notice pursuant to this Section 1(d)or otherwise and/or switch some or all of such Exercise Notice from a cash exercise to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Disputes</w:t>
      </w:r>
      <w:r>
        <w:rPr>
          <w:rFonts w:ascii="Times New Roman" w:hAnsi="Times New Roman"/>
          <w:sz w:val="20"/>
        </w:rPr>
        <w:t xml:space="preserve">. In the case of a dispute as to the determination of the applicable Exercise Price or the arithmetic calculation of the Warrant Shares and/or Pre-Funded Warrants, the Company shall promptly issue to the Holder the number of Warrant Shares and/or Pre-Funded Warrants that are not disputed and resolve such dispute in accordance with Section 11.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Beneficial Ownership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Pre-Funded Warrants, to the extent that after giving effect to such exercise of the Warrant for Warrant Shares, the Holder together with the other Attribution Parties collectively would beneficially own in excess of [4.99][9.99][19.99]% (the “</w:t>
      </w:r>
      <w:r>
        <w:rPr>
          <w:rFonts w:ascii="Times New Roman" w:hAnsi="Times New Roman"/>
          <w:b/>
          <w:i/>
          <w:sz w:val="20"/>
        </w:rPr>
        <w:t>Maximum Percentage</w:t>
      </w:r>
      <w:r>
        <w:rPr>
          <w:rFonts w:ascii="Times New Roman" w:hAnsi="Times New Roman"/>
          <w:sz w:val="20"/>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Pre-Funded Warrants pursuant to the form of the Pre-Funded Warrant attached hereto as </w:t>
      </w:r>
      <w:r>
        <w:rPr>
          <w:rFonts w:ascii="Times New Roman" w:hAnsi="Times New Roman"/>
          <w:sz w:val="20"/>
          <w:u w:val="single"/>
        </w:rPr>
        <w:t>Exhibit B</w:t>
      </w:r>
      <w:r>
        <w:rPr>
          <w:rFonts w:ascii="Times New Roman" w:hAnsi="Times New Roman"/>
          <w:sz w:val="20"/>
        </w:rPr>
        <w:t xml:space="preserve"> and, as soon as reasonably practicable, the Company shall return to the Holder any Exercise Price paid by the Holder for the Reduction Shares (as defined below) in excess of the Exercise Price for the Pre-Funded Warrants issued to the Holder. Upon delivery of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to the Company, the Holder may from time to time increase or decrease the Maximum Percentage to any other percentage as specified in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Securities Exchange Act of 1934, as amended (the “</w:t>
      </w:r>
      <w:r>
        <w:rPr>
          <w:rFonts w:ascii="Times New Roman" w:hAnsi="Times New Roman"/>
          <w:b/>
          <w:i/>
          <w:sz w:val="20"/>
        </w:rPr>
        <w:t>1934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1(f)(1). For purposes of Section 1(f)(1), beneficial ownership shall be calculated in accordance with Section 13(d) of the 1934 Act.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Times New Roman" w:hAnsi="Times New Roman"/>
          <w:b/>
          <w:i/>
          <w:sz w:val="20"/>
        </w:rPr>
        <w:t>Commission</w:t>
      </w:r>
      <w:r>
        <w:rPr>
          <w:rFonts w:ascii="Times New Roman" w:hAnsi="Times New Roman"/>
          <w:sz w:val="20"/>
        </w:rPr>
        <w:t>”), as the case may be, (y) a more recent public announcement by the Company or (z) any other written notice by the Company or the Transfer Agent setting forth the number of shares of Common Stock outstanding (the “</w:t>
      </w:r>
      <w:r>
        <w:rPr>
          <w:rFonts w:ascii="Times New Roman" w:hAnsi="Times New Roman"/>
          <w:b/>
          <w:i/>
          <w:sz w:val="20"/>
        </w:rPr>
        <w:t>Reported Outstanding Share Number</w:t>
      </w:r>
      <w:r>
        <w:rPr>
          <w:rFonts w:ascii="Times New Roman" w:hAnsi="Times New Roman"/>
          <w:sz w:val="20"/>
        </w:rPr>
        <w:t>”). If the Company receives an Exercise Notice from the Holder at a time when the actual number of outstanding shares of Common Stock is less than the Reported Outstanding Share Number, the Company shall (i) promptly notify the Holder in writing of the number of shares of Common Stock then outstanding and, to the extent that such Exercise Notice would otherwise cause the Holder’s beneficial ownership, as determined pursuant to this Section 1(f), to exceed the Maximum Percentage, the Company will issue Pre-Funded Warrants in lieu of Warrant Shares that would cause the Holder’s beneficial ownership to exceed the Maximum Percentage (the number of Warrant Shares by which such purchase is reduced, the “</w:t>
      </w:r>
      <w:r>
        <w:rPr>
          <w:rFonts w:ascii="Times New Roman" w:hAnsi="Times New Roman"/>
          <w:b/>
          <w:i/>
          <w:sz w:val="20"/>
        </w:rPr>
        <w:t>Reduction Shares</w:t>
      </w:r>
      <w:r>
        <w:rPr>
          <w:rFonts w:ascii="Times New Roman" w:hAnsi="Times New Roman"/>
          <w:sz w:val="20"/>
        </w:rPr>
        <w:t xml:space="preserve">”) and (ii) as soon as reasonably practicable, and in any event, within five (5) Trading Days, the Company shall return to the Holder any Exercise Price paid by the Holder for the Reduction Shares in excess of the Exercise Price for the Pre-Funded Warrants issued to the Holder. </w:t>
      </w:r>
    </w:p>
    <w:p>
      <w:pPr>
        <w:pStyle w:val="TextBody"/>
        <w:bidi w:val="0"/>
        <w:spacing w:before="240" w:after="0"/>
        <w:jc w:val="left"/>
        <w:rPr>
          <w:rFonts w:ascii="Times New Roman" w:hAnsi="Times New Roman"/>
          <w:sz w:val="20"/>
        </w:rPr>
      </w:pPr>
      <w:r>
        <w:rPr>
          <w:rFonts w:ascii="Times New Roman" w:hAnsi="Times New Roman"/>
          <w:sz w:val="20"/>
        </w:rPr>
        <w:t xml:space="preserve">(3) Upon the written request of the Holder, the Company shall within one (1) Business Day confirm in writing (including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In any case, the number of outstanding shares of Common Stock shall be determined after giving effect to the conversion or exercise of securities of the Company, including this Warrant upon receipt of an Exercise Notice, by the Holder and any other Attribution Party since the date as of which the Reported Outstanding Share Number was reported. No prior inability to exercise this Warrant for Warrant Shares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Required Reserve Amount</w:t>
      </w:r>
      <w:r>
        <w:rPr>
          <w:rFonts w:ascii="Times New Roman" w:hAnsi="Times New Roman"/>
          <w:sz w:val="20"/>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hAnsi="Times New Roman"/>
          <w:b/>
          <w:i/>
          <w:sz w:val="20"/>
        </w:rPr>
        <w:t>Required Reserve Amount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hAnsi="Times New Roman"/>
          <w:b/>
          <w:i/>
          <w:sz w:val="20"/>
        </w:rPr>
        <w:t>Authorized Share Allocation</w:t>
      </w:r>
      <w:r>
        <w:rPr>
          <w:rFonts w:ascii="Times New Roman" w:hAnsi="Times New Roman"/>
          <w:sz w:val="20"/>
        </w:rPr>
        <w:t xml:space="preserve">”).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Insufficient Authorized Shares</w:t>
      </w:r>
      <w:r>
        <w:rPr>
          <w:rFonts w:ascii="Times New Roman" w:hAnsi="Times New Roman"/>
          <w:sz w:val="20"/>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hAnsi="Times New Roman"/>
          <w:b/>
          <w:i/>
          <w:sz w:val="20"/>
        </w:rPr>
        <w:t>Authorized Share Failure</w:t>
      </w:r>
      <w:r>
        <w:rPr>
          <w:rFonts w:ascii="Times New Roman" w:hAnsi="Times New Roman"/>
          <w:sz w:val="20"/>
        </w:rPr>
        <w:t xml:space="preserve">”),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ADJUSTMENT OF EXERCISE PRICE AND NUMBER OF WARRANT SHARES OR PRE-FUNDED WARRANTS</w:t>
      </w:r>
      <w:r>
        <w:rPr>
          <w:rFonts w:ascii="Times New Roman" w:hAnsi="Times New Roman"/>
          <w:sz w:val="20"/>
        </w:rPr>
        <w:t xml:space="preserve">. The Exercise Price and the number of Warrant Shares or Pre-Funded Warrants shall be adjusted from time to time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Adjustment Upon Subdivision or Combination of Common Stock</w:t>
      </w:r>
      <w:r>
        <w:rPr>
          <w:rFonts w:ascii="Times New Roman" w:hAnsi="Times New Roman"/>
          <w:sz w:val="20"/>
        </w:rPr>
        <w:t xml:space="preserve">.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or Pre-Funded Warrants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or Pre-Funded Warrants will be proportionately decreased. Any adjustment under this Section 2(b)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Events</w:t>
      </w:r>
      <w:r>
        <w:rPr>
          <w:rFonts w:ascii="Times New Roman" w:hAnsi="Times New Roman"/>
          <w:sz w:val="20"/>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adjustment pursuant to this Section 2(c) will increase the Exercise Price or decrease the number of Warrant Shares or Pre-Funded Warrants as otherwise determined pursuant to this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sz w:val="20"/>
          <w:u w:val="single"/>
        </w:rPr>
        <w:t>RIGHTS UPON DISTRIBUTION OF ASSETS</w:t>
      </w:r>
      <w:r>
        <w:rPr>
          <w:rFonts w:ascii="Times New Roman" w:hAnsi="Times New Roman"/>
          <w:sz w:val="20"/>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b/>
          <w:i/>
          <w:sz w:val="20"/>
        </w:rPr>
        <w:t>Distribution</w:t>
      </w:r>
      <w:r>
        <w:rPr>
          <w:rFonts w:ascii="Times New Roman" w:hAnsi="Times New Roman"/>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sz w:val="20"/>
          <w:u w:val="single"/>
        </w:rPr>
        <w:t>PURCHASE RIGHTS; FUNDAMENTAL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Rights</w:t>
      </w:r>
      <w:r>
        <w:rPr>
          <w:rFonts w:ascii="Times New Roman" w:hAnsi="Times New Roman"/>
          <w:sz w:val="20"/>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hAnsi="Times New Roman"/>
          <w:b/>
          <w:i/>
          <w:sz w:val="20"/>
        </w:rPr>
        <w:t>Purchase Rights</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Fundamental Transaction</w:t>
      </w:r>
      <w:r>
        <w:rPr>
          <w:rFonts w:ascii="Times New Roman" w:hAnsi="Times New Roman"/>
          <w:sz w:val="20"/>
        </w:rPr>
        <w:t xml:space="preserve">. The Company shall not enter into or be party to a Fundamental Transaction unless the Successor Entity assumes in writing all of the obligations of the Company under the Transaction Documents, including this Warrant in accordance with the provisions of this Section 4(b), including, if applicable,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Warrant Shares and/or Pre-Funded Warrants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hAnsi="Times New Roman"/>
          <w:b/>
          <w:i/>
          <w:sz w:val="20"/>
        </w:rPr>
        <w:t>Corporate Event</w:t>
      </w:r>
      <w:r>
        <w:rPr>
          <w:rFonts w:ascii="Times New Roman" w:hAnsi="Times New Roman"/>
          <w:sz w:val="20"/>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Warrant Shares and/or Pre-Funded Warrants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sz w:val="20"/>
          <w:u w:val="single"/>
        </w:rPr>
        <w:t>NONCIRCUMVENTION</w:t>
      </w:r>
      <w:r>
        <w:rPr>
          <w:rFonts w:ascii="Times New Roman" w:hAnsi="Times New Roman"/>
          <w:sz w:val="20"/>
        </w:rPr>
        <w:t xml:space="preserve">. The Company hereby covenants and agrees that the Company will not, by amendment of its Certificate of Incorporation or Bylaws, each as amended to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for Warrant Shares,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sz w:val="20"/>
          <w:u w:val="single"/>
        </w:rPr>
        <w:t>WARRANT HOLDER NOT DEEMED A STOCKHOLDER</w:t>
      </w:r>
      <w:r>
        <w:rPr>
          <w:rFonts w:ascii="Times New Roman" w:hAnsi="Times New Roman"/>
          <w:sz w:val="20"/>
        </w:rPr>
        <w:t xml:space="preserve">.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such notices shall be deemed delivered if such notice is available on EDGAR. Without limiting any rights of a Holder to receive cash payments pursuant to Section 1(d) herein, in no event shall the Company be required to net cash settle an exercise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sz w:val="20"/>
          <w:u w:val="single"/>
        </w:rPr>
        <w:t>REISSUANCE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of Warrant</w:t>
      </w:r>
      <w:r>
        <w:rPr>
          <w:rFonts w:ascii="Times New Roman" w:hAnsi="Times New Roman"/>
          <w:sz w:val="20"/>
        </w:rPr>
        <w:t xml:space="preserve">.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or Pre-Funded Warrants being transferred by the Holder and, if less than the total number of Warrant Shares or Pre-Funded Warrants then underlying this Warrant is being transferred, a new Warrant (in accordance with Section 7(d)) to the Holder representing the right to purchase the number of Warrant Shares or Pre-Funded Warrants not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Lost, Stolen or Mutilated Warrant</w:t>
      </w:r>
      <w:r>
        <w:rPr>
          <w:rFonts w:ascii="Times New Roman" w:hAnsi="Times New Roman"/>
          <w:sz w:val="20"/>
        </w:rPr>
        <w:t xml:space="preserve">.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or Pre-Funded Warrants then underlying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Exchangeable for Multiple Warrants</w:t>
      </w:r>
      <w:r>
        <w:rPr>
          <w:rFonts w:ascii="Times New Roman" w:hAnsi="Times New Roman"/>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or Pre-Funded Warrants then underlying this Warrant, and each such new Warrant will represent the right to purchase such portion of such Warrant Shares or Pre-Funded Warrants as is designated by the Holder at the time of such surrender.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Issuance of New Warrants</w:t>
      </w:r>
      <w:r>
        <w:rPr>
          <w:rFonts w:ascii="Times New Roman" w:hAnsi="Times New Roman"/>
          <w:sz w:val="20"/>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or Pre-Funded Warrants then underlying this Warrant (or in the case of a new Warrant being issued pursuant to Section 7(a) or Section 7(c), the Warrant Shares or Pre-Funded Warrants designated by the Holder which, when added to the number of shares of Common Stock underlying the other new Warrants issued in connection with such issuance, does not exceed the number of Warrant Shares or Pre-Funded Warrants then underlying this Warrant), (iii) shall have an issuance date, as indicated on the face of such new Warrant which is the same as the Issuance Date, and (iv) shall have the same rights and conditions as this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CalciMedica, Inc. </w:t>
      </w:r>
    </w:p>
    <w:p>
      <w:pPr>
        <w:pStyle w:val="TextBody"/>
        <w:bidi w:val="0"/>
        <w:spacing w:before="0" w:after="0"/>
        <w:jc w:val="left"/>
        <w:rPr>
          <w:rFonts w:ascii="Times New Roman" w:hAnsi="Times New Roman"/>
          <w:sz w:val="20"/>
        </w:rPr>
      </w:pPr>
      <w:r>
        <w:rPr>
          <w:rFonts w:ascii="Times New Roman" w:hAnsi="Times New Roman"/>
          <w:sz w:val="20"/>
        </w:rPr>
        <w:t xml:space="preserve">505 Coast Boulevard South </w:t>
      </w:r>
    </w:p>
    <w:p>
      <w:pPr>
        <w:pStyle w:val="TextBody"/>
        <w:bidi w:val="0"/>
        <w:spacing w:before="0" w:after="0"/>
        <w:jc w:val="left"/>
        <w:rPr>
          <w:rFonts w:ascii="Times New Roman" w:hAnsi="Times New Roman"/>
          <w:sz w:val="20"/>
        </w:rPr>
      </w:pPr>
      <w:r>
        <w:rPr>
          <w:rFonts w:ascii="Times New Roman" w:hAnsi="Times New Roman"/>
          <w:sz w:val="20"/>
        </w:rPr>
        <w:t xml:space="preserve">Suite 307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0" w:after="0"/>
        <w:jc w:val="left"/>
        <w:rPr>
          <w:rFonts w:ascii="Times New Roman" w:hAnsi="Times New Roman"/>
          <w:sz w:val="20"/>
        </w:rPr>
      </w:pPr>
      <w:r>
        <w:rPr>
          <w:rFonts w:ascii="Times New Roman" w:hAnsi="Times New Roman"/>
          <w:sz w:val="20"/>
        </w:rPr>
        <w:t xml:space="preserve">Attn: John Dunn,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to the Holder, at such address or other contact information delivered by the Holder to the Company or as is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promptly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or waived and the Company may take any action herein prohibited, or omit to perform any act herein required to be performed by it, only if the Company has obtained the written consent of the Holder; provided, however, that Section 1(f) may not be amended or waived except as specifically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GOVERNING LAW; JURISDICTION; JURY TRIAL</w:t>
      </w:r>
      <w:r>
        <w:rPr>
          <w:rFonts w:ascii="Times New Roman" w:hAnsi="Times New Roman"/>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hAnsi="Times New Roman"/>
          <w:b/>
          <w:sz w:val="20"/>
        </w:rPr>
        <w:t>THE COMPANY HEREBY IRREVOCABLY WAIVES ANY RIGHT IT MAY HAVE, AND AGREES NOT TO REQUEST, A JURY TRIAL FOR THE ADJUDICATION OF ANY DISPUTE HEREUNDER OR IN CONNECTION WITH OR ARISING OUT OF THIS WARRANT OR ANY TRANSACTION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DISPUTE RESOLUTION</w:t>
      </w:r>
      <w:r>
        <w:rPr>
          <w:rFonts w:ascii="Times New Roman" w:hAnsi="Times New Roman"/>
          <w:sz w:val="20"/>
        </w:rPr>
        <w:t xml:space="preserve">. In the case of a dispute as to the determination of the Exercise Price or the arithmetic calculation of the Warrant Shares or Pre-Funded Warrants,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or Pre-Funded Warrants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or Pre-Funded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REMEDIES, OTHER OBLIGATIONS, BREACHES AND INJUNCTIVE RELIEF. The remedies</w:t>
      </w:r>
      <w:r>
        <w:rPr>
          <w:rFonts w:ascii="Times New Roman" w:hAnsi="Times New Roman"/>
          <w:sz w:val="20"/>
        </w:rPr>
        <w:t xml:space="preserve">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TRANSFER</w:t>
      </w:r>
      <w:r>
        <w:rPr>
          <w:rFonts w:ascii="Times New Roman" w:hAnsi="Times New Roman"/>
          <w:sz w:val="20"/>
        </w:rPr>
        <w:t xml:space="preserve">. This Warrant and the Warrant Shares or Pre-Funded Warrants may be offered for sale, sold, transferred, pledged or assigned without the consent of the Company.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SEVERABILITY; CONSTRUCTION; HEADINGS</w:t>
      </w:r>
      <w:r>
        <w:rPr>
          <w:rFonts w:ascii="Times New Roman" w:hAnsi="Times New Roman"/>
          <w:sz w:val="20"/>
        </w:rPr>
        <w:t xml:space="preserve">.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DISCLOSURE</w:t>
      </w:r>
      <w:r>
        <w:rPr>
          <w:rFonts w:ascii="Times New Roman" w:hAnsi="Times New Roman"/>
          <w:sz w:val="20"/>
        </w:rPr>
        <w:t xml:space="preserve">.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CERTAIN 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xml:space="preserve">”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Attribution Parties</w:t>
      </w:r>
      <w:r>
        <w:rPr>
          <w:rFonts w:ascii="Times New Roman" w:hAnsi="Times New Roman"/>
          <w:sz w:val="20"/>
        </w:rPr>
        <w:t xml:space="preserve">”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1934 Act. For clarity, the purpose of the foregoing is to subject collectively the Holder and all other Attribution Parties to the Maximum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i/>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Change of Control</w:t>
      </w:r>
      <w:r>
        <w:rPr>
          <w:rFonts w:ascii="Times New Roman" w:hAnsi="Times New Roman"/>
          <w:sz w:val="20"/>
        </w:rPr>
        <w:t xml:space="preserve">”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Closing Sale Price</w:t>
      </w:r>
      <w:r>
        <w:rPr>
          <w:rFonts w:ascii="Times New Roman" w:hAnsi="Times New Roman"/>
          <w:sz w:val="20"/>
        </w:rPr>
        <w:t xml:space="preserve">” means, for any security as of any date, the last trade price for such security on the Principal Market for such security, as reported by Bloomberg Financial Markets, or, if such Principal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Common Stock</w:t>
      </w:r>
      <w:r>
        <w:rPr>
          <w:rFonts w:ascii="Times New Roman" w:hAnsi="Times New Roman"/>
          <w:sz w:val="20"/>
        </w:rPr>
        <w:t xml:space="preserve">” means (i) the Company’s Common Stock, par value $0.0001 per share, and (ii) any capital stock into which such Common Stock shall have been changed or any capital stock resulting from a reclassification of such Common Stock.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Common Stock Equivalents</w:t>
      </w:r>
      <w:r>
        <w:rPr>
          <w:rFonts w:ascii="Times New Roman" w:hAnsi="Times New Roman"/>
          <w:sz w:val="20"/>
        </w:rPr>
        <w:t xml:space="preserve">”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Convertible Securities</w:t>
      </w:r>
      <w:r>
        <w:rPr>
          <w:rFonts w:ascii="Times New Roman" w:hAnsi="Times New Roman"/>
          <w:sz w:val="20"/>
        </w:rPr>
        <w:t xml:space="preserve">” means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Eligible Market</w:t>
      </w:r>
      <w:r>
        <w:rPr>
          <w:rFonts w:ascii="Times New Roman" w:hAnsi="Times New Roman"/>
          <w:sz w:val="20"/>
        </w:rPr>
        <w:t xml:space="preserve">” means The Nasdaq Capital Market, the NYSE American LLC, The Nasdaq Global Select Market, The Nasdaq Global Market or The New York Stock Exchange, Inc.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Expiration Date</w:t>
      </w:r>
      <w:r>
        <w:rPr>
          <w:rFonts w:ascii="Times New Roman" w:hAnsi="Times New Roman"/>
          <w:sz w:val="20"/>
        </w:rPr>
        <w:t xml:space="preserve">” means the earlier of (i) 18 months after the Closing Date (as defined in the Purchase Agreement) and (ii) the date that is thirty (30) days following the Company’s public announcement of the clearance of its Investigational New Drug Application by the U.S. Food and Drug Administration for CM5480; provided, however, that if the Expiration Date occurs prior to the Stockholder Approval Date, then the Expiration Date shall be extended until the date that is thirty (30) days following the Stockholder Approval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w:t>
      </w:r>
      <w:r>
        <w:rPr>
          <w:rFonts w:ascii="Times New Roman" w:hAnsi="Times New Roman"/>
          <w:b/>
          <w:i/>
          <w:sz w:val="20"/>
        </w:rPr>
        <w:t>Fundamental Transaction</w:t>
      </w:r>
      <w:r>
        <w:rPr>
          <w:rFonts w:ascii="Times New Roman" w:hAnsi="Times New Roman"/>
          <w:sz w:val="20"/>
        </w:rPr>
        <w:t xml:space="preserve">” means (A) that the Company shall, directly or indirectly, including through subsidiaries, Affiliates or otherwise, in one or more related transactions, (i) consolidate or merge with or into another Subject Entity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or (ii) sell, assign, transfer, convey or otherwise dispose of all or substantially all of the properties or assets of the Company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the greater of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at the closing thereof, the greater of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(B) that the Company shall, directly or indirectly, including through subsidiaries, Affiliates or otherwise, in one or more related transactions, approve such transaction(s) in which any Subject Entity individually or the Subject Entities in the aggregate become the “beneficial owner” (as defined in Rule 13d-3 under the 1934 Act) at the closing thereof,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 similar transaction, of (x) the greater of (I) at least 50% of the aggregate voting power represented by issued and outstanding shares of Common Stock, and (II) at least 50% of the aggregate voting power represented by issued and outstanding shares of Common Stock not held by all such Subject Entities as of the Subscription Date calculated as if any shares of Common Stock held by all such Subject Entities were not outstanding, or (y) a percentage of the aggregate voting power represented by issued and outstanding shares of Common Stock or other equity securities of the Company sufficient to allow such Subject Entities to effect a statutory short form merger or other transaction requiring all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with the purpose of circumventing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Group</w:t>
      </w:r>
      <w:r>
        <w:rPr>
          <w:rFonts w:ascii="Times New Roman" w:hAnsi="Times New Roman"/>
          <w:sz w:val="20"/>
        </w:rPr>
        <w:t xml:space="preserve">” shall have the meaning ascribed to it in Section 13(d) of the 1934 Act, and all related rules, regulations and jurisprudence.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Options</w:t>
      </w:r>
      <w:r>
        <w:rPr>
          <w:rFonts w:ascii="Times New Roman" w:hAnsi="Times New Roman"/>
          <w:sz w:val="20"/>
        </w:rPr>
        <w:t xml:space="preserve">” means any rights, warrants or options to subscribe for or purchase shares of Common Stock or Convertible Securities.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Parent Entity</w:t>
      </w:r>
      <w:r>
        <w:rPr>
          <w:rFonts w:ascii="Times New Roman" w:hAnsi="Times New Roman"/>
          <w:sz w:val="20"/>
        </w:rPr>
        <w:t xml:space="preserve">” of a Person means an entity that, directly or indirectly, controls the applicable Person, including such entity whose common stock or equivalent equity security is quoted or listed on an Eligible Market, or, if there is more than one such Person or such entity, such Person or entity with the largest public market capitalization as of the date of consummation of the Fundamental Transaction or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b/>
          <w:i/>
          <w:sz w:val="20"/>
        </w:rPr>
        <w:t>Person</w:t>
      </w:r>
      <w:r>
        <w:rPr>
          <w:rFonts w:ascii="Times New Roman" w:hAnsi="Times New Roman"/>
          <w:sz w:val="20"/>
        </w:rPr>
        <w:t xml:space="preserve">” means an individual, a limited liability company, a partnership, a joint venture, a corporation, a trust, an unincorporated organization, any other entity and a government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Principal Market</w:t>
      </w:r>
      <w:r>
        <w:rPr>
          <w:rFonts w:ascii="Times New Roman" w:hAnsi="Times New Roman"/>
          <w:sz w:val="20"/>
        </w:rPr>
        <w:t xml:space="preserve">” means the national securities exchange or other trading market on which the Common Stock is primarily listed on and quoted for trading, which, as of the Issuance Date, is The Nasdaq Capital Market.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Required Holders</w:t>
      </w:r>
      <w:r>
        <w:rPr>
          <w:rFonts w:ascii="Times New Roman" w:hAnsi="Times New Roman"/>
          <w:sz w:val="20"/>
        </w:rPr>
        <w:t xml:space="preserve">” means the holders of this Warrant and/or the Other Warrants representing at least a majority of the shares of Common Stock underlying this Warrant and the Other Warrants then outstanding.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Standard Settlement Period</w:t>
      </w:r>
      <w:r>
        <w:rPr>
          <w:rFonts w:ascii="Times New Roman" w:hAnsi="Times New Roman"/>
          <w:sz w:val="20"/>
        </w:rPr>
        <w:t xml:space="preserve">” means the standard settlement period, expressed in a number of Trading Days, for the Principal Market with respect to the Common Stock that is in effect on the date of delivery of an applicable Exercise Notice (as determined in accordance with </w:t>
      </w:r>
      <w:r>
        <w:rPr>
          <w:rFonts w:ascii="Times New Roman" w:hAnsi="Times New Roman"/>
          <w:sz w:val="20"/>
          <w:u w:val="single"/>
        </w:rPr>
        <w:t>Section 8</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Subject Entity</w:t>
      </w:r>
      <w:r>
        <w:rPr>
          <w:rFonts w:ascii="Times New Roman" w:hAnsi="Times New Roman"/>
          <w:sz w:val="20"/>
        </w:rPr>
        <w:t xml:space="preserve">” means any Person or Group or any Affiliate or associate of any such Person or Group.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Successor Entity</w:t>
      </w:r>
      <w:r>
        <w:rPr>
          <w:rFonts w:ascii="Times New Roman" w:hAnsi="Times New Roman"/>
          <w:sz w:val="20"/>
        </w:rPr>
        <w:t xml:space="preserve">” means a Person formed by, resulting from or surviving any Fundamental Transaction or Change of Control or a Person which such Fundamental Transaction or Change of Control shall have been entered into or its Parent Entity if the holders of Common Stock receive securities of such Parent Entity in such Fundamental Transaction or Change of Control.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Trading Day</w:t>
      </w:r>
      <w:r>
        <w:rPr>
          <w:rFonts w:ascii="Times New Roman" w:hAnsi="Times New Roman"/>
          <w:sz w:val="20"/>
        </w:rPr>
        <w:t xml:space="preserve">” means any weekday on which the Principal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Transaction Documents</w:t>
      </w:r>
      <w:r>
        <w:rPr>
          <w:rFonts w:ascii="Times New Roman" w:hAnsi="Times New Roman"/>
          <w:sz w:val="20"/>
        </w:rPr>
        <w:t xml:space="preserve">” means this Warrant, that certain Securities Purchase Agreement, dated June 23, 2026, by and between the Company and the purchasers set forth therein, and any agreement entered into by and between the Company and the Holder, as applicable, in connection with such agreements. </w:t>
      </w:r>
    </w:p>
    <w:p>
      <w:pPr>
        <w:pStyle w:val="TextBody"/>
        <w:bidi w:val="0"/>
        <w:spacing w:before="240" w:after="0"/>
        <w:jc w:val="center"/>
        <w:rPr>
          <w:rFonts w:ascii="Times New Roman" w:hAnsi="Times New Roman"/>
          <w:b/>
          <w:sz w:val="20"/>
        </w:rPr>
      </w:pPr>
      <w:r>
        <w:rPr>
          <w:rFonts w:ascii="Times New Roman" w:hAnsi="Times New Roman"/>
          <w:b/>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Purchase Common Stock to be duly executed as of the Issuance Date set out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67"/>
        <w:gridCol w:w="161"/>
        <w:gridCol w:w="2254"/>
      </w:tblGrid>
      <w:tr>
        <w:trPr/>
        <w:tc>
          <w:tcPr>
            <w:tcW w:w="166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CALCIMEDICA, INC.</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By:</w:t>
            </w:r>
          </w:p>
        </w:tc>
        <w:tc>
          <w:tcPr>
            <w:tcW w:w="161" w:type="dxa"/>
            <w:tcBorders/>
            <w:vAlign w:val="bottom"/>
          </w:tcPr>
          <w:p>
            <w:pPr>
              <w:pStyle w:val="TableContents"/>
              <w:bidi w:val="0"/>
              <w:spacing w:before="0" w:after="283"/>
              <w:jc w:val="left"/>
              <w:rPr/>
            </w:pPr>
            <w:r>
              <w:rPr/>
              <w:t> </w:t>
            </w:r>
          </w:p>
        </w:tc>
        <w:tc>
          <w:tcPr>
            <w:tcW w:w="2254" w:type="dxa"/>
            <w:tcBorders/>
          </w:tcPr>
          <w:p>
            <w:pPr>
              <w:pStyle w:val="TableContents"/>
              <w:pBdr>
                <w:bottom w:val="single" w:sz="2" w:space="1" w:color="000000"/>
              </w:pBdr>
              <w:bidi w:val="0"/>
              <w:spacing w:before="0" w:after="20"/>
              <w:jc w:val="left"/>
              <w:rPr/>
            </w:pPr>
            <w:r>
              <w:rPr/>
              <w:t> </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Name:</w:t>
            </w:r>
          </w:p>
        </w:tc>
        <w:tc>
          <w:tcPr>
            <w:tcW w:w="161" w:type="dxa"/>
            <w:tcBorders/>
            <w:vAlign w:val="bottom"/>
          </w:tcPr>
          <w:p>
            <w:pPr>
              <w:pStyle w:val="TableContents"/>
              <w:bidi w:val="0"/>
              <w:spacing w:before="0" w:after="283"/>
              <w:jc w:val="left"/>
              <w:rPr/>
            </w:pPr>
            <w:r>
              <w:rPr/>
              <w:t> </w:t>
            </w:r>
          </w:p>
        </w:tc>
        <w:tc>
          <w:tcPr>
            <w:tcW w:w="2254" w:type="dxa"/>
            <w:tcBorders/>
          </w:tcPr>
          <w:p>
            <w:pPr>
              <w:pStyle w:val="TableContents"/>
              <w:pBdr>
                <w:bottom w:val="single" w:sz="2" w:space="1" w:color="000000"/>
              </w:pBdr>
              <w:bidi w:val="0"/>
              <w:spacing w:before="0" w:after="20"/>
              <w:jc w:val="left"/>
              <w:rPr/>
            </w:pPr>
            <w:r>
              <w:rPr/>
              <w:t> </w:t>
            </w:r>
          </w:p>
        </w:tc>
      </w:tr>
      <w:tr>
        <w:trPr>
          <w:trHeight w:val="240" w:hRule="atLeast"/>
        </w:trPr>
        <w:tc>
          <w:tcPr>
            <w:tcW w:w="1667" w:type="dxa"/>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r>
      <w:tr>
        <w:trPr/>
        <w:tc>
          <w:tcPr>
            <w:tcW w:w="1667" w:type="dxa"/>
            <w:tcBorders/>
          </w:tcPr>
          <w:p>
            <w:pPr>
              <w:pStyle w:val="TableContents"/>
              <w:bidi w:val="0"/>
              <w:spacing w:before="0" w:after="283"/>
              <w:jc w:val="left"/>
              <w:rPr/>
            </w:pPr>
            <w:r>
              <w:rPr/>
              <w:t>Title:</w:t>
            </w:r>
          </w:p>
        </w:tc>
        <w:tc>
          <w:tcPr>
            <w:tcW w:w="161" w:type="dxa"/>
            <w:tcBorders/>
            <w:vAlign w:val="bottom"/>
          </w:tcPr>
          <w:p>
            <w:pPr>
              <w:pStyle w:val="TableContents"/>
              <w:bidi w:val="0"/>
              <w:spacing w:before="0" w:after="283"/>
              <w:jc w:val="left"/>
              <w:rPr/>
            </w:pPr>
            <w:r>
              <w:rPr/>
              <w:t> </w:t>
            </w:r>
          </w:p>
        </w:tc>
        <w:tc>
          <w:tcPr>
            <w:tcW w:w="2254"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240" w:after="0"/>
        <w:jc w:val="center"/>
        <w:rPr>
          <w:rFonts w:ascii="Times New Roman" w:hAnsi="Times New Roman"/>
          <w:b/>
          <w:sz w:val="20"/>
        </w:rPr>
      </w:pPr>
      <w:r>
        <w:rPr>
          <w:rFonts w:ascii="Times New Roman" w:hAnsi="Times New Roman"/>
          <w:b/>
          <w:sz w:val="20"/>
        </w:rPr>
        <w:t xml:space="preserve">TO BE EXECUTED BY THE REGISTERED HOLDER TO EXERCISE THIS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WARRANT TO PURCHASE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240" w:after="0"/>
        <w:jc w:val="left"/>
        <w:rPr>
          <w:rFonts w:ascii="Times New Roman" w:hAnsi="Times New Roman"/>
          <w:sz w:val="20"/>
        </w:rPr>
      </w:pPr>
      <w:r>
        <w:rPr>
          <w:rFonts w:ascii="Times New Roman" w:hAnsi="Times New Roman"/>
          <w:sz w:val="20"/>
        </w:rPr>
        <w:t>The undersigned holder hereby exercises the right to purchase _________________ shares of Common Stock (“</w:t>
      </w:r>
      <w:r>
        <w:rPr>
          <w:rFonts w:ascii="Times New Roman" w:hAnsi="Times New Roman"/>
          <w:b/>
          <w:i/>
          <w:sz w:val="20"/>
        </w:rPr>
        <w:t>Warrant Shares</w:t>
      </w:r>
      <w:r>
        <w:rPr>
          <w:rFonts w:ascii="Times New Roman" w:hAnsi="Times New Roman"/>
          <w:sz w:val="20"/>
        </w:rPr>
        <w:t>”) and/or pre-funded warrants to purchase ________________ shares of Common Stock at a purchase price of $0.0001 (the “</w:t>
      </w:r>
      <w:r>
        <w:rPr>
          <w:rFonts w:ascii="Times New Roman" w:hAnsi="Times New Roman"/>
          <w:b/>
          <w:i/>
          <w:sz w:val="20"/>
        </w:rPr>
        <w:t>Pre-Funded Warrants</w:t>
      </w:r>
      <w:r>
        <w:rPr>
          <w:rFonts w:ascii="Times New Roman" w:hAnsi="Times New Roman"/>
          <w:sz w:val="20"/>
        </w:rPr>
        <w:t>”) of CalciMedica, Inc., a Delaware corporation (the “</w:t>
      </w:r>
      <w:r>
        <w:rPr>
          <w:rFonts w:ascii="Times New Roman" w:hAnsi="Times New Roman"/>
          <w:b/>
          <w:i/>
          <w:sz w:val="20"/>
        </w:rPr>
        <w:t>Company</w:t>
      </w:r>
      <w:r>
        <w:rPr>
          <w:rFonts w:ascii="Times New Roman" w:hAnsi="Times New Roman"/>
          <w:sz w:val="20"/>
        </w:rPr>
        <w:t>”), evidenced by the attached Series A Warrant to Purchase Common Stock (the “</w:t>
      </w:r>
      <w:r>
        <w:rPr>
          <w:rFonts w:ascii="Times New Roman" w:hAnsi="Times New Roman"/>
          <w:b/>
          <w:i/>
          <w:sz w:val="20"/>
        </w:rPr>
        <w:t>Warrant</w:t>
      </w:r>
      <w:r>
        <w:rPr>
          <w:rFonts w:ascii="Times New Roman" w:hAnsi="Times New Roman"/>
          <w:sz w:val="20"/>
        </w:rPr>
        <w:t xml:space="preserve">”). Capitalized terms used herein and not otherwise defined shall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1. Exercise Price. The Holder intends that payment of the Exercise Price shall be made with respect to _________________ Warrant Shares and/or Pre-Funded Warrants exercisable for _______________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2. Payment of Exercise Price. The Holder shall pay the Aggregate Exercise Price in the sum of $___________________ to the Company in accordance with the terms of the Warrant , and/or in lieu of cash payment, a “Cashless Exercise” with respect to ____________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3. Delivery of Warrant Shares and/or Pre-Funded Warrants. The Company shall deliver to the holder _______________ Warrant Shares and/or Pre-Funded Warrants exercisable for ____________ shares of Common Stock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 ______ </w:t>
      </w:r>
    </w:p>
    <w:p>
      <w:pPr>
        <w:pStyle w:val="TextBody"/>
        <w:bidi w:val="0"/>
        <w:spacing w:before="240" w:after="0"/>
        <w:jc w:val="left"/>
        <w:rPr>
          <w:rFonts w:ascii="Times New Roman" w:hAnsi="Times New Roman"/>
          <w:sz w:val="20"/>
        </w:rPr>
      </w:pPr>
      <w:r>
        <w:rPr>
          <w:rFonts w:ascii="Times New Roman" w:hAnsi="Times New Roman"/>
          <w:sz w:val="20"/>
        </w:rPr>
        <w:t xml:space="preserve">Name of Registered Holder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r>
        <w:trPr>
          <w:trHeight w:val="240" w:hRule="atLeast"/>
        </w:trPr>
        <w:tc>
          <w:tcPr>
            <w:tcW w:w="735" w:type="dxa"/>
            <w:tcBorders/>
            <w:vAlign w:val="center"/>
          </w:tcPr>
          <w:p>
            <w:pPr>
              <w:pStyle w:val="TableContents"/>
              <w:bidi w:val="0"/>
              <w:spacing w:before="0" w:after="283"/>
              <w:jc w:val="left"/>
              <w:rPr>
                <w:sz w:val="4"/>
                <w:szCs w:val="4"/>
              </w:rPr>
            </w:pPr>
            <w:r>
              <w:rPr>
                <w:sz w:val="4"/>
                <w:szCs w:val="4"/>
              </w:rPr>
            </w:r>
          </w:p>
        </w:tc>
        <w:tc>
          <w:tcPr>
            <w:tcW w:w="3347"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r>
        <w:trPr>
          <w:trHeight w:val="240" w:hRule="atLeast"/>
        </w:trPr>
        <w:tc>
          <w:tcPr>
            <w:tcW w:w="735" w:type="dxa"/>
            <w:tcBorders/>
            <w:vAlign w:val="center"/>
          </w:tcPr>
          <w:p>
            <w:pPr>
              <w:pStyle w:val="TableContents"/>
              <w:bidi w:val="0"/>
              <w:spacing w:before="0" w:after="283"/>
              <w:jc w:val="left"/>
              <w:rPr>
                <w:sz w:val="4"/>
                <w:szCs w:val="4"/>
              </w:rPr>
            </w:pPr>
            <w:r>
              <w:rPr>
                <w:sz w:val="4"/>
                <w:szCs w:val="4"/>
              </w:rPr>
            </w:r>
          </w:p>
        </w:tc>
        <w:tc>
          <w:tcPr>
            <w:tcW w:w="3347"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[See separate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p>
    <w:p>
      <w:pPr>
        <w:pStyle w:val="TextBody"/>
        <w:bidi w:val="0"/>
        <w:spacing w:before="0" w:after="0"/>
        <w:jc w:val="right"/>
        <w:rPr>
          <w:rFonts w:ascii="Times New Roman" w:hAnsi="Times New Roman"/>
          <w:b/>
          <w:sz w:val="20"/>
        </w:rPr>
      </w:pPr>
      <w:bookmarkStart w:id="17" w:name="d169379dex424.htm"/>
      <w:bookmarkStart w:id="18" w:name="ksd169379dex424"/>
      <w:bookmarkEnd w:id="17"/>
      <w:bookmarkEnd w:id="18"/>
      <w:r>
        <w:rPr>
          <w:rFonts w:ascii="Times New Roman" w:hAnsi="Times New Roman"/>
          <w:b/>
          <w:sz w:val="20"/>
        </w:rPr>
        <w:t xml:space="preserve">Exhibit 4.24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left"/>
        <w:rPr>
          <w:rFonts w:ascii="Times New Roman" w:hAnsi="Times New Roman"/>
          <w:sz w:val="20"/>
        </w:rPr>
      </w:pPr>
      <w:r>
        <w:rPr>
          <w:rFonts w:ascii="Times New Roman" w:hAnsi="Times New Roman"/>
          <w:b/>
          <w:sz w:val="20"/>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hAnsi="Times New Roman"/>
          <w:sz w:val="20"/>
        </w:rPr>
        <w:t>“</w:t>
      </w:r>
      <w:r>
        <w:rPr>
          <w:rFonts w:ascii="Times New Roman" w:hAnsi="Times New Roman"/>
          <w:b/>
          <w:sz w:val="20"/>
        </w:rPr>
        <w:t>SECURITIES ACT</w:t>
      </w:r>
      <w:r>
        <w:rPr>
          <w:rFonts w:ascii="Times New Roman" w:hAnsi="Times New Roman"/>
          <w:sz w:val="20"/>
        </w:rPr>
        <w:t>”</w:t>
      </w:r>
      <w:r>
        <w:rPr>
          <w:rFonts w:ascii="Times New Roman" w:hAnsi="Times New Roman"/>
          <w:b/>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SERIES B WARRANT] </w:t>
      </w:r>
    </w:p>
    <w:p>
      <w:pPr>
        <w:pStyle w:val="TextBody"/>
        <w:bidi w:val="0"/>
        <w:spacing w:before="24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240" w:after="0"/>
        <w:jc w:val="center"/>
        <w:rPr>
          <w:rFonts w:ascii="Times New Roman" w:hAnsi="Times New Roman"/>
          <w:b/>
          <w:sz w:val="20"/>
        </w:rPr>
      </w:pPr>
      <w:r>
        <w:rPr>
          <w:rFonts w:ascii="Times New Roman" w:hAnsi="Times New Roman"/>
          <w:b/>
          <w:sz w:val="20"/>
        </w:rPr>
        <w:t xml:space="preserve">SERIES B WARRANT TO PURCHASE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Warrant No.: Series B-[_]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Common Stock or Pre-Funded Warrants: [_] </w:t>
      </w:r>
    </w:p>
    <w:p>
      <w:pPr>
        <w:pStyle w:val="TextBody"/>
        <w:bidi w:val="0"/>
        <w:spacing w:before="240" w:after="0"/>
        <w:jc w:val="left"/>
        <w:rPr>
          <w:rFonts w:ascii="Times New Roman" w:hAnsi="Times New Roman"/>
          <w:sz w:val="20"/>
        </w:rPr>
      </w:pPr>
      <w:r>
        <w:rPr>
          <w:rFonts w:ascii="Times New Roman" w:hAnsi="Times New Roman"/>
          <w:sz w:val="20"/>
        </w:rPr>
        <w:t>Date of Issuance: Stockholder Approval Date (as defined in the Purchase Agreement) (“</w:t>
      </w:r>
      <w:r>
        <w:rPr>
          <w:rFonts w:ascii="Times New Roman" w:hAnsi="Times New Roman"/>
          <w:b/>
          <w:i/>
          <w:sz w:val="20"/>
        </w:rPr>
        <w:t>Issuance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CalciMedica, Inc., a company organized under the laws of Delaware (the “</w:t>
      </w:r>
      <w:r>
        <w:rPr>
          <w:rFonts w:ascii="Times New Roman" w:hAnsi="Times New Roman"/>
          <w:b/>
          <w:i/>
          <w:sz w:val="20"/>
        </w:rPr>
        <w:t>Company</w:t>
      </w:r>
      <w:r>
        <w:rPr>
          <w:rFonts w:ascii="Times New Roman" w:hAnsi="Times New Roman"/>
          <w:sz w:val="20"/>
        </w:rPr>
        <w:t>”), hereby certifies that, for good and valuable consideration, the receipt and sufficiency of which are hereby acknowledged, [HOLDER], the registered holder hereof or its permitted assigns (the “</w:t>
      </w:r>
      <w:r>
        <w:rPr>
          <w:rFonts w:ascii="Times New Roman" w:hAnsi="Times New Roman"/>
          <w:b/>
          <w:i/>
          <w:sz w:val="20"/>
        </w:rPr>
        <w:t>Holder</w:t>
      </w:r>
      <w:r>
        <w:rPr>
          <w:rFonts w:ascii="Times New Roman" w:hAnsi="Times New Roman"/>
          <w:sz w:val="20"/>
        </w:rPr>
        <w:t>”), is entitled, subject to the terms set forth below, to purchase from the Company, at the Exercise Price (as defined below) then in effect, at any time, and from time to time, following the Issuance Date, but not after 11:59 p.m., New York time, on the Expiration Date (the “</w:t>
      </w:r>
      <w:r>
        <w:rPr>
          <w:rFonts w:ascii="Times New Roman" w:hAnsi="Times New Roman"/>
          <w:b/>
          <w:i/>
          <w:sz w:val="20"/>
        </w:rPr>
        <w:t>Exercisability Period</w:t>
      </w:r>
      <w:r>
        <w:rPr>
          <w:rFonts w:ascii="Times New Roman" w:hAnsi="Times New Roman"/>
          <w:sz w:val="20"/>
        </w:rPr>
        <w:t>”), either (x) [______________ (_____________)] fully paid non-assessable shares of Common Stock (as defined below), subject to adjustment as provided herein (the “</w:t>
      </w:r>
      <w:r>
        <w:rPr>
          <w:rFonts w:ascii="Times New Roman" w:hAnsi="Times New Roman"/>
          <w:b/>
          <w:i/>
          <w:sz w:val="20"/>
        </w:rPr>
        <w:t>Warrant Shares</w:t>
      </w:r>
      <w:r>
        <w:rPr>
          <w:rFonts w:ascii="Times New Roman" w:hAnsi="Times New Roman"/>
          <w:sz w:val="20"/>
        </w:rPr>
        <w:t>”), or, (y) in lieu of all or a portion of such Warrant Shares, pre-funded warrants to purchase up to [______________ (_____________)] shares of Common Stock for a future exercise price of $0.0001 (the “</w:t>
      </w:r>
      <w:r>
        <w:rPr>
          <w:rFonts w:ascii="Times New Roman" w:hAnsi="Times New Roman"/>
          <w:b/>
          <w:i/>
          <w:sz w:val="20"/>
        </w:rPr>
        <w:t>Pre-Funded Warrants</w:t>
      </w:r>
      <w:r>
        <w:rPr>
          <w:rFonts w:ascii="Times New Roman" w:hAnsi="Times New Roman"/>
          <w:sz w:val="20"/>
        </w:rPr>
        <w:t xml:space="preserve">”), in the form attached hereto as </w:t>
      </w:r>
      <w:r>
        <w:rPr>
          <w:rFonts w:ascii="Times New Roman" w:hAnsi="Times New Roman"/>
          <w:sz w:val="20"/>
          <w:u w:val="single"/>
        </w:rPr>
        <w:t>Exhibit B</w:t>
      </w:r>
      <w:r>
        <w:rPr>
          <w:rFonts w:ascii="Times New Roman" w:hAnsi="Times New Roman"/>
          <w:sz w:val="20"/>
        </w:rPr>
        <w:t>, with such choice between Warrant Shares and Pre-Funded Warrants determined by the Maximum Percentage (as defined below). Except as otherwise defined herein, capitalized terms in this Series B Warrant to Purchase Common Stock or Pre-Funded Warrants (including any Series B Warrants to Purchase Common Stock or Pre-Funded Warrants issued in exchange, transfer or replacement hereof, this “</w:t>
      </w:r>
      <w:r>
        <w:rPr>
          <w:rFonts w:ascii="Times New Roman" w:hAnsi="Times New Roman"/>
          <w:b/>
          <w:i/>
          <w:sz w:val="20"/>
        </w:rPr>
        <w:t>Warrant</w:t>
      </w:r>
      <w:r>
        <w:rPr>
          <w:rFonts w:ascii="Times New Roman" w:hAnsi="Times New Roman"/>
          <w:sz w:val="20"/>
        </w:rPr>
        <w:t>”), shall have the meanings set forth in Section 16. This Warrant is one of the Series B Warrants to Purchase Common Stock or Pre-Funded Warrants (the “</w:t>
      </w:r>
      <w:r>
        <w:rPr>
          <w:rFonts w:ascii="Times New Roman" w:hAnsi="Times New Roman"/>
          <w:b/>
          <w:i/>
          <w:sz w:val="20"/>
        </w:rPr>
        <w:t>Other Warrants</w:t>
      </w:r>
      <w:r>
        <w:rPr>
          <w:rFonts w:ascii="Times New Roman" w:hAnsi="Times New Roman"/>
          <w:sz w:val="20"/>
        </w:rPr>
        <w:t>”) issued pursuant to that certain Securities Purchase Agreement (the “</w:t>
      </w:r>
      <w:r>
        <w:rPr>
          <w:rFonts w:ascii="Times New Roman" w:hAnsi="Times New Roman"/>
          <w:b/>
          <w:i/>
          <w:sz w:val="20"/>
        </w:rPr>
        <w:t>Purchase Agreement</w:t>
      </w:r>
      <w:r>
        <w:rPr>
          <w:rFonts w:ascii="Times New Roman" w:hAnsi="Times New Roman"/>
          <w:sz w:val="20"/>
        </w:rPr>
        <w:t>”), dated as of June 23, 2026 (the “</w:t>
      </w:r>
      <w:r>
        <w:rPr>
          <w:rFonts w:ascii="Times New Roman" w:hAnsi="Times New Roman"/>
          <w:b/>
          <w:i/>
          <w:sz w:val="20"/>
        </w:rPr>
        <w:t>Subscription Date</w:t>
      </w:r>
      <w:r>
        <w:rPr>
          <w:rFonts w:ascii="Times New Roman" w:hAnsi="Times New Roman"/>
          <w:sz w:val="20"/>
        </w:rPr>
        <w:t xml:space="preserve">”), by and between the Company and the Purchasers on the signature pages thereto.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EXERCISE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Mechanics of Exercise</w:t>
      </w:r>
      <w:r>
        <w:rPr>
          <w:rFonts w:ascii="Times New Roman" w:hAnsi="Times New Roman"/>
          <w:sz w:val="20"/>
        </w:rPr>
        <w:t xml:space="preserve">. Subject to the terms and conditions hereof (including, without limitation, the limitations set forth in Section 1(f)), this Warrant may be exercised by the Holder at any time or times during the Exercisability Period, in whole or in part, by delivery (whether via electronic mail or otherwise) of a written notice,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Exercise Notice</w:t>
      </w:r>
      <w:r>
        <w:rPr>
          <w:rFonts w:ascii="Times New Roman" w:hAnsi="Times New Roman"/>
          <w:sz w:val="20"/>
        </w:rPr>
        <w:t xml:space="preserve">”) (and such date on which the Exercise Notice is delivered (as determined in accordance with </w:t>
      </w:r>
      <w:r>
        <w:rPr>
          <w:rFonts w:ascii="Times New Roman" w:hAnsi="Times New Roman"/>
          <w:sz w:val="20"/>
          <w:u w:val="single"/>
        </w:rPr>
        <w:t>Section 8</w:t>
      </w:r>
      <w:r>
        <w:rPr>
          <w:rFonts w:ascii="Times New Roman" w:hAnsi="Times New Roman"/>
          <w:sz w:val="20"/>
        </w:rPr>
        <w:t xml:space="preserve"> hereof), the “</w:t>
      </w:r>
      <w:r>
        <w:rPr>
          <w:rFonts w:ascii="Times New Roman" w:hAnsi="Times New Roman"/>
          <w:b/>
          <w:i/>
          <w:sz w:val="20"/>
        </w:rPr>
        <w:t>Exercise Date</w:t>
      </w:r>
      <w:r>
        <w:rPr>
          <w:rFonts w:ascii="Times New Roman" w:hAnsi="Times New Roman"/>
          <w:sz w:val="20"/>
        </w:rPr>
        <w:t>”), of the Holder’s election to exercise this Warrant. Within one (1) Trading Day following delivery of the Exercise Notice, the Holder shall pay to the Company of an amount equal to the Exercise Price in effect on the date of such exercise, as applicable to the exercise of the Warrant Shares or the Pre-Funded Warrants, multiplied by the number of Warrant Shares or Pre-Funded Warrants as to which this Warrant is being exercised (the “</w:t>
      </w:r>
      <w:r>
        <w:rPr>
          <w:rFonts w:ascii="Times New Roman" w:hAnsi="Times New Roman"/>
          <w:b/>
          <w:i/>
          <w:sz w:val="20"/>
        </w:rPr>
        <w:t>Aggregate Exercise Price</w:t>
      </w:r>
      <w:r>
        <w:rPr>
          <w:rFonts w:ascii="Times New Roman" w:hAnsi="Times New Roman"/>
          <w:sz w:val="20"/>
        </w:rPr>
        <w:t xml:space="preserve">”), or, if the provisions of Section 1(c) are applicable by notifying the Company that this Warrant is being exercised pursuant to a Cashless Exercise (as defined in Section 1(c)) in cash by wire transfer of immediately available. The Holder shall not be required to deliver the original Warrant in order to effect an exercise hereunder, nor shall any ink-original signature or medallion guarantee (or other type of guarantee or notarization) with respect to any Exercise Notice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Execution and delivery of the Exercise Notice with respect to less than all of the Warrant Shares or Pre-Funded Warrants shall have the same effect as cancellation of the original Warrant and issuance of a new Warrant evidencing the right to purchase the remaining number of Warrant Shares or Pre-Funded Warrants and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five (5) Trading Days of the date on which the final Exercise Notice has been delivered to the Company. On the Exercise Date, the Company shall transmit by electronic mail an acknowledgment of confirmation of receipt of the Exercise Notice and Aggregate Exercise Price to the Holder and the Company’s transfer agent (the “</w:t>
      </w:r>
      <w:r>
        <w:rPr>
          <w:rFonts w:ascii="Times New Roman" w:hAnsi="Times New Roman"/>
          <w:b/>
          <w:i/>
          <w:sz w:val="20"/>
        </w:rPr>
        <w:t>Transfer Agent</w:t>
      </w:r>
      <w:r>
        <w:rPr>
          <w:rFonts w:ascii="Times New Roman" w:hAnsi="Times New Roman"/>
          <w:sz w:val="20"/>
        </w:rPr>
        <w:t>”). Upon exercise of this Warrant, if there is an effective registration statement permitting the issuance of the Warrant Shares to or the resale of such Warrant Shares by the Holder (“</w:t>
      </w:r>
      <w:r>
        <w:rPr>
          <w:rFonts w:ascii="Times New Roman" w:hAnsi="Times New Roman"/>
          <w:b/>
          <w:i/>
          <w:sz w:val="20"/>
        </w:rPr>
        <w:t>Registration Condition</w:t>
      </w:r>
      <w:r>
        <w:rPr>
          <w:rFonts w:ascii="Times New Roman" w:hAnsi="Times New Roman"/>
          <w:sz w:val="20"/>
        </w:rPr>
        <w:t>”), the Company shall promptly (but in no event later than the number of Trading Days compromising the Standard Settlement Period following the Exercise Date provided that the Aggregate Exercise Price has been received by the Company before 12:00 p.m. Eastern Time on such date, and if not, the Trading Day following receipt of such Aggregate Exercise Price (such date, the “</w:t>
      </w:r>
      <w:r>
        <w:rPr>
          <w:rFonts w:ascii="Times New Roman" w:hAnsi="Times New Roman"/>
          <w:b/>
          <w:i/>
          <w:sz w:val="20"/>
        </w:rPr>
        <w:t>Delivery Date</w:t>
      </w:r>
      <w:r>
        <w:rPr>
          <w:rFonts w:ascii="Times New Roman" w:hAnsi="Times New Roman"/>
          <w:sz w:val="20"/>
        </w:rPr>
        <w:t>”)), cause the Transfer Agent to (x) if the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w:t>
      </w:r>
      <w:r>
        <w:rPr>
          <w:rFonts w:ascii="Times New Roman" w:hAnsi="Times New Roman"/>
          <w:b/>
          <w:i/>
          <w:sz w:val="20"/>
        </w:rPr>
        <w:t>FAST</w:t>
      </w:r>
      <w:r>
        <w:rPr>
          <w:rFonts w:ascii="Times New Roman" w:hAnsi="Times New Roman"/>
          <w:sz w:val="20"/>
        </w:rPr>
        <w:t>”), credit such aggregate number of Warrant Shares to which the Holder is entitled pursuant to such exercise to the Holder’s or its designee’s balance account with DTC through its Deposit / Withdrawal At Custodian system or (y) if the Transfer Agent is not participating in FAST, credit such aggregate number of Warrant Shares to which the Holder is entitled pursuant to such exercise to the Holder’s or its designee’s balance account in book entry form via a direct registration system (“</w:t>
      </w:r>
      <w:r>
        <w:rPr>
          <w:rFonts w:ascii="Times New Roman" w:hAnsi="Times New Roman"/>
          <w:b/>
          <w:i/>
          <w:sz w:val="20"/>
        </w:rPr>
        <w:t>DRS</w:t>
      </w:r>
      <w:r>
        <w:rPr>
          <w:rFonts w:ascii="Times New Roman" w:hAnsi="Times New Roman"/>
          <w:sz w:val="20"/>
        </w:rPr>
        <w:t>”) maintained by or on behalf of the Transfer Agent. If the Registration Condition is not met or the exercise is for Pre-Funded Warrants and not Warrant Shares, as applicable, (i) the Transfer Agent will, by the Delivery Date, at the request of the Holder, either (A) issue and dispatch by overnight courier to the address as specified in the Exercise Notice, a certificate registered in the name of the Holder or its designee, for the number of Warrant Shares to which the Holder is entitled pursuant to such exercise with an appropriate legend regarding restriction on transferability or (B) issue and record in the name of the Holder or its designee the number of Warrant Shares to which the Holder is entitled pursuant to such exercise in restricted book-entry form in the Company’s share register and deliver an electronic statement of such issuance to the electronic mail address as specified in the Exercise Notice and/or (ii) the warrant agent for the Pre-Funded Warrants (the “</w:t>
      </w:r>
      <w:r>
        <w:rPr>
          <w:rFonts w:ascii="Times New Roman" w:hAnsi="Times New Roman"/>
          <w:b/>
          <w:i/>
          <w:sz w:val="20"/>
        </w:rPr>
        <w:t>PFW Agent</w:t>
      </w:r>
      <w:r>
        <w:rPr>
          <w:rFonts w:ascii="Times New Roman" w:hAnsi="Times New Roman"/>
          <w:sz w:val="20"/>
        </w:rPr>
        <w:t xml:space="preserve">”) will, by the Delivery Date, issue and dispatch by overnight courier or electronic mail (at the request of the Holder) to the address as specified in the Exercise Notice, Pre-Funded Warrants registered in the name of the Holder or its designee, exercisable for the number of shares of Common Stock to which the Holder is entitled pursuant to such exercise. The Company shall be responsible for all fees and expenses of the Transfer Agent, the PFW Agent and all fees and expenses with respect to the issuance of Warrant Shares via DTC, if any. Upon the Exercise Date, the Holder shall be deemed solely for purposes of Regulation SHO to have become the holder of record and beneficial owner of the Warrant Shares or Pre-Funded Warrants with respect to which this Warrant has been exercised, irrespective of the date such Warrant Shares are credited to the Holder’s DTC account or the date of delivery of the certificates evidencing such Warrant Shares or the Pre-Funded Warrants. If this Warrant is physically delivered to the Company in connection with any exercise pursuant to this Section 1(a) and the number of Warrant Shares or Pre-Funded Warrants represented by this Warrant submitted for exercise is greater than the number of Warrant Shares or Pre-Funded Warrants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or Pre-Funded Warrants issuable immediately prior to such exercise under this Warrant, less the number of Warrant Shares or Pre-Funded Warrants with respect to which this Warrant is exercised. No fractional Warrant Shares or Pre-Funded Warrants are to be issued upon the exercise of this Warrant, but rather the number of Warrant Shares or Pre-Funded Warrants to be issued shall be rounded down to the nearest whole number. The Company shall pay any and all transfer, stamp, issuance and similar taxes, costs and expenses (including, without limitation, fees and expenses of the Transfer Agent and the PFW Agent) which may be payable with respect to the issuance and delivery of Warrant Shares or Pre-Funded Warrants upon exercise of this Warrant. The Company’s obligations to issue and deliver Warrant Shares or Pre-Funded Warrants in accordance with the terms and subject to the conditions hereof (including payment of the Aggregate Exercise Price)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For purposes of this Warrant, “</w:t>
      </w:r>
      <w:r>
        <w:rPr>
          <w:rFonts w:ascii="Times New Roman" w:hAnsi="Times New Roman"/>
          <w:b/>
          <w:i/>
          <w:sz w:val="20"/>
        </w:rPr>
        <w:t>Exercise Price</w:t>
      </w:r>
      <w:r>
        <w:rPr>
          <w:rFonts w:ascii="Times New Roman" w:hAnsi="Times New Roman"/>
          <w:sz w:val="20"/>
        </w:rPr>
        <w:t xml:space="preserve">” means $1.00 per share for Warrant Shares and $0.9999 per share for each share of Common Stock underlying the Pre-Funded Warrants,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Notwithstanding anything herein to the contrary, if following the date that is six (6) months following the Issuance Date of this Warrant, a registration statement covering the resale of the Exercise Notice Warrant Shares (as defined in Section 1(d)) is not available for the resale of such Exercise Notice Warrant Shares,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Markets)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Commission continues to take the position that such treatment is proper at the time of such exercise). In the event that a registration statement registering the resale of Warrant Shares is, for any reason, not effective at the time of exercise of this Warrant, then the Warrant may only be exercised through a cashless exercise, as set forth in this Section 1(c). If the Warrant Shares are issued in such a cashless exercise, the Company acknowledges and agrees that, in accordance with Section 3(a)(9) of the Securities Act, the Exercise Notice Warrant Shares issued in such exercise shall take on the registered characteristics of the Warrants being exercised and may be tacked on to the holding period of the Warrants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Company’s Failure to Timely Deliver Securities</w:t>
      </w:r>
      <w:r>
        <w:rPr>
          <w:rFonts w:ascii="Times New Roman" w:hAnsi="Times New Roman"/>
          <w:sz w:val="20"/>
        </w:rPr>
        <w:t>. If either (I) the Company shall fail for any reason or for no reason to issue or cause the issuance to the Holder or its designee of the Warrant Shares or Pre-Funded Warrants that are the subject of the Exercise Notice (the “</w:t>
      </w:r>
      <w:r>
        <w:rPr>
          <w:rFonts w:ascii="Times New Roman" w:hAnsi="Times New Roman"/>
          <w:b/>
          <w:i/>
          <w:sz w:val="20"/>
        </w:rPr>
        <w:t>Exercise Notice Warrant Shares</w:t>
      </w:r>
      <w:r>
        <w:rPr>
          <w:rFonts w:ascii="Times New Roman" w:hAnsi="Times New Roman"/>
          <w:sz w:val="20"/>
        </w:rPr>
        <w:t>” or “</w:t>
      </w:r>
      <w:r>
        <w:rPr>
          <w:rFonts w:ascii="Times New Roman" w:hAnsi="Times New Roman"/>
          <w:b/>
          <w:i/>
          <w:sz w:val="20"/>
        </w:rPr>
        <w:t>Exercise Notice Pre-Funded Warrants</w:t>
      </w:r>
      <w:r>
        <w:rPr>
          <w:rFonts w:ascii="Times New Roman" w:hAnsi="Times New Roman"/>
          <w:sz w:val="20"/>
        </w:rPr>
        <w:t>”, as applicable) on or prior to the applicable Delivery Date or (II) the Registration Condition is not met with respect to the Exercise Notice Warrant Shares and (x) the Company fails to promptly, but in no event later than one (1) Business Day after such registration statement becomes unavailable, to so notify the Holder and (y) the Company is unable to deliver the Exercise Notice Warrant Shares electronically by the Delivery Date without any restrictive legend by crediting such aggregate number of Exercise Notice Warrant Shares to the Holder’s or its designee’s balance account with DTC through its Deposit / Withdrawal At Custodian system or in book entry from via a DRS, as applicable, (the event described in the immediately foregoing clause (II) together with the event described in clause (I) above, an “</w:t>
      </w:r>
      <w:r>
        <w:rPr>
          <w:rFonts w:ascii="Times New Roman" w:hAnsi="Times New Roman"/>
          <w:b/>
          <w:i/>
          <w:sz w:val="20"/>
        </w:rPr>
        <w:t>Exercise Failure</w:t>
      </w:r>
      <w:r>
        <w:rPr>
          <w:rFonts w:ascii="Times New Roman" w:hAnsi="Times New Roman"/>
          <w:sz w:val="20"/>
        </w:rPr>
        <w:t>”), in each case other than any failure caused by incorrect or incomplete information provided by the Holder to the Company, and following the applicable Delivery Date the Holder is required by its broker to purchase (in an open market transaction or otherwise) or the Holder’s brokerage firm otherwise purchases, shares of Common Stock to deliver in satisfaction of a sale by the Holder of the Warrant Shares or Pre-Funded Warrants which the Holder anticipated receiving upon such exercise (a “</w:t>
      </w:r>
      <w:r>
        <w:rPr>
          <w:rFonts w:ascii="Times New Roman" w:hAnsi="Times New Roman"/>
          <w:b/>
          <w:i/>
          <w:sz w:val="20"/>
        </w:rPr>
        <w:t>Buy-In</w:t>
      </w:r>
      <w:r>
        <w:rPr>
          <w:rFonts w:ascii="Times New Roman" w:hAnsi="Times New Roman"/>
          <w:sz w:val="20"/>
        </w:rPr>
        <w:t xml:space="preserve">”), then, in addition to all other remedies available to the Holder,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Pre-Funded Warrants that the Company was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 to the Holder in connection with the exercise at issue times (2) the price at which the sell order giving rise to such purchase obligation was executed, and (B) at the option of the Holder, either reinstate the portion of the Warrant and equivalent number of Warrant Shares or Pre-Funded Warrants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Pre-Funded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rescission of an exercise shall not affect the Company’s obligation to make any payments that have accrued prior to the date of such notice pursuant to this Section 1(d) or otherwise, and (ii) if the Registration Condition is not met with respect to the Exercise Notice Warrant Shares and the Holder has submitted an Exercise Notice prior to receiving notice of the non-availability of such registration statement and the Company has not already delivered the Exercise Notice Warrant Shares electronically without any restrictive legend by crediting such aggregate number of Exercise Notice Warrant Shares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rescission of an Exercise Notice shall not affect the Company’s obligation to make any payments that have accrued prior to the date of such notice pursuant to this Section 1(d)or otherwise and/or switch some or all of such Exercise Notice from a cash exercise to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Disputes</w:t>
      </w:r>
      <w:r>
        <w:rPr>
          <w:rFonts w:ascii="Times New Roman" w:hAnsi="Times New Roman"/>
          <w:sz w:val="20"/>
        </w:rPr>
        <w:t xml:space="preserve">. In the case of a dispute as to the determination of the applicable Exercise Price or the arithmetic calculation of the Warrant Shares and/or Pre-Funded Warrants, the Company shall promptly issue to the Holder the number of Warrant Shares and/or Pre-Funded Warrants that are not disputed and resolve such dispute in accordance with Section 11.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Beneficial Ownership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Pre-Funded Warrants, to the extent that after giving effect to such exercise of the Warrant for Warrant Shares, the Holder together with the other Attribution Parties collectively would beneficially own in excess of [4.99][9.99][19.99]% (the “</w:t>
      </w:r>
      <w:r>
        <w:rPr>
          <w:rFonts w:ascii="Times New Roman" w:hAnsi="Times New Roman"/>
          <w:b/>
          <w:i/>
          <w:sz w:val="20"/>
        </w:rPr>
        <w:t>Maximum Percentage</w:t>
      </w:r>
      <w:r>
        <w:rPr>
          <w:rFonts w:ascii="Times New Roman" w:hAnsi="Times New Roman"/>
          <w:sz w:val="20"/>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Pre-Funded Warrants pursuant to the form of the Pre-Funded Warrant attached hereto as </w:t>
      </w:r>
      <w:r>
        <w:rPr>
          <w:rFonts w:ascii="Times New Roman" w:hAnsi="Times New Roman"/>
          <w:sz w:val="20"/>
          <w:u w:val="single"/>
        </w:rPr>
        <w:t>Exhibit B</w:t>
      </w:r>
      <w:r>
        <w:rPr>
          <w:rFonts w:ascii="Times New Roman" w:hAnsi="Times New Roman"/>
          <w:sz w:val="20"/>
        </w:rPr>
        <w:t xml:space="preserve"> and, as soon as reasonably practicable, the Company shall return to the Holder any Exercise Price paid by the Holder for the Reduction Shares (as defined below) in excess of the Exercise Price for the Pre-Funded Warrants issued to the Holder. Upon delivery of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to the Company, the Holder may from time to time increase or decrease the Maximum Percentage to any other percentage as specified in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Securities Exchange Act of 1934, as amended (the “</w:t>
      </w:r>
      <w:r>
        <w:rPr>
          <w:rFonts w:ascii="Times New Roman" w:hAnsi="Times New Roman"/>
          <w:b/>
          <w:i/>
          <w:sz w:val="20"/>
        </w:rPr>
        <w:t>1934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1(f)(1). For purposes of Section 1(f)(1), beneficial ownership shall be calculated in accordance with Section 13(d) of the 1934 Act.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Times New Roman" w:hAnsi="Times New Roman"/>
          <w:b/>
          <w:i/>
          <w:sz w:val="20"/>
        </w:rPr>
        <w:t>Commission</w:t>
      </w:r>
      <w:r>
        <w:rPr>
          <w:rFonts w:ascii="Times New Roman" w:hAnsi="Times New Roman"/>
          <w:sz w:val="20"/>
        </w:rPr>
        <w:t>”), as the case may be, (y) a more recent public announcement by the Company or (z) any other written notice by the Company or the Transfer Agent setting forth the number of shares of Common Stock outstanding (the “</w:t>
      </w:r>
      <w:r>
        <w:rPr>
          <w:rFonts w:ascii="Times New Roman" w:hAnsi="Times New Roman"/>
          <w:b/>
          <w:i/>
          <w:sz w:val="20"/>
        </w:rPr>
        <w:t>Reported Outstanding Share Number</w:t>
      </w:r>
      <w:r>
        <w:rPr>
          <w:rFonts w:ascii="Times New Roman" w:hAnsi="Times New Roman"/>
          <w:sz w:val="20"/>
        </w:rPr>
        <w:t>”). If the Company receives an Exercise Notice from the Holder at a time when the actual number of outstanding shares of Common Stock is less than the Reported Outstanding Share Number, the Company shall (i) promptly notify the Holder in writing of the number of shares of Common Stock then outstanding and, to the extent that such Exercise Notice would otherwise cause the Holder’s beneficial ownership, as determined pursuant to this Section 1(f), to exceed the Maximum Percentage, the Company will issue Pre-Funded Warrants in lieu of Warrant Shares that would cause the Holder’s beneficial ownership to exceed the Maximum Percentage (the number of Warrant Shares by which such purchase is reduced, the “</w:t>
      </w:r>
      <w:r>
        <w:rPr>
          <w:rFonts w:ascii="Times New Roman" w:hAnsi="Times New Roman"/>
          <w:b/>
          <w:i/>
          <w:sz w:val="20"/>
        </w:rPr>
        <w:t>Reduction Shares</w:t>
      </w:r>
      <w:r>
        <w:rPr>
          <w:rFonts w:ascii="Times New Roman" w:hAnsi="Times New Roman"/>
          <w:sz w:val="20"/>
        </w:rPr>
        <w:t xml:space="preserve">”) and (ii) as soon as reasonably practicable, and in any event, within five (5) Trading Days, the Company shall return to the Holder any Exercise Price paid by the Holder for the Reduction Shares in excess of the Exercise Price for the Pre-Funded Warrants issued to the Holder. </w:t>
      </w:r>
    </w:p>
    <w:p>
      <w:pPr>
        <w:pStyle w:val="TextBody"/>
        <w:bidi w:val="0"/>
        <w:spacing w:before="240" w:after="0"/>
        <w:jc w:val="left"/>
        <w:rPr>
          <w:rFonts w:ascii="Times New Roman" w:hAnsi="Times New Roman"/>
          <w:sz w:val="20"/>
        </w:rPr>
      </w:pPr>
      <w:r>
        <w:rPr>
          <w:rFonts w:ascii="Times New Roman" w:hAnsi="Times New Roman"/>
          <w:sz w:val="20"/>
        </w:rPr>
        <w:t xml:space="preserve">(3) Upon the written request of the Holder, the Company shall within one (1) Business Day confirm in writing (including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In any case, the number of outstanding shares of Common Stock shall be determined after giving effect to the conversion or exercise of securities of the Company, including this Warrant upon receipt of an Exercise Notice, by the Holder and any other Attribution Party since the date as of which the Reported Outstanding Share Number was reported. No prior inability to exercise this Warrant for Warrant Shares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Required Reserve Amount</w:t>
      </w:r>
      <w:r>
        <w:rPr>
          <w:rFonts w:ascii="Times New Roman" w:hAnsi="Times New Roman"/>
          <w:sz w:val="20"/>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hAnsi="Times New Roman"/>
          <w:b/>
          <w:i/>
          <w:sz w:val="20"/>
        </w:rPr>
        <w:t>Required Reserve Amount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hAnsi="Times New Roman"/>
          <w:b/>
          <w:i/>
          <w:sz w:val="20"/>
        </w:rPr>
        <w:t>Authorized Share Allocation</w:t>
      </w:r>
      <w:r>
        <w:rPr>
          <w:rFonts w:ascii="Times New Roman" w:hAnsi="Times New Roman"/>
          <w:sz w:val="20"/>
        </w:rPr>
        <w:t xml:space="preserve">”).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Insufficient Authorized Shares</w:t>
      </w:r>
      <w:r>
        <w:rPr>
          <w:rFonts w:ascii="Times New Roman" w:hAnsi="Times New Roman"/>
          <w:sz w:val="20"/>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hAnsi="Times New Roman"/>
          <w:b/>
          <w:i/>
          <w:sz w:val="20"/>
        </w:rPr>
        <w:t>Authorized Share Failure</w:t>
      </w:r>
      <w:r>
        <w:rPr>
          <w:rFonts w:ascii="Times New Roman" w:hAnsi="Times New Roman"/>
          <w:sz w:val="20"/>
        </w:rPr>
        <w:t xml:space="preserve">”),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ADJUSTMENT OF EXERCISE PRICE AND NUMBER OF WARRANT SHARES OR PRE-FUNDED WARRANTS</w:t>
      </w:r>
      <w:r>
        <w:rPr>
          <w:rFonts w:ascii="Times New Roman" w:hAnsi="Times New Roman"/>
          <w:sz w:val="20"/>
        </w:rPr>
        <w:t xml:space="preserve">. The Exercise Price and the number of Warrant Shares or Pre-Funded Warrants shall be adjusted from time to time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Adjustment Upon Subdivision or Combination of Common Stock</w:t>
      </w:r>
      <w:r>
        <w:rPr>
          <w:rFonts w:ascii="Times New Roman" w:hAnsi="Times New Roman"/>
          <w:sz w:val="20"/>
        </w:rPr>
        <w:t xml:space="preserve">.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or Pre-Funded Warrants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or Pre-Funded Warrants will be proportionately decreased. Any adjustment under this Section 2(b)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Events</w:t>
      </w:r>
      <w:r>
        <w:rPr>
          <w:rFonts w:ascii="Times New Roman" w:hAnsi="Times New Roman"/>
          <w:sz w:val="20"/>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adjustment pursuant to this Section 2(c) will increase the Exercise Price or decrease the number of Warrant Shares or Pre-Funded Warrants as otherwise determined pursuant to this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sz w:val="20"/>
          <w:u w:val="single"/>
        </w:rPr>
        <w:t>RIGHTS UPON DISTRIBUTION OF ASSETS</w:t>
      </w:r>
      <w:r>
        <w:rPr>
          <w:rFonts w:ascii="Times New Roman" w:hAnsi="Times New Roman"/>
          <w:sz w:val="20"/>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b/>
          <w:i/>
          <w:sz w:val="20"/>
        </w:rPr>
        <w:t>Distribution</w:t>
      </w:r>
      <w:r>
        <w:rPr>
          <w:rFonts w:ascii="Times New Roman" w:hAnsi="Times New Roman"/>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sz w:val="20"/>
          <w:u w:val="single"/>
        </w:rPr>
        <w:t>PURCHASE RIGHTS; FUNDAMENTAL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Rights</w:t>
      </w:r>
      <w:r>
        <w:rPr>
          <w:rFonts w:ascii="Times New Roman" w:hAnsi="Times New Roman"/>
          <w:sz w:val="20"/>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hAnsi="Times New Roman"/>
          <w:b/>
          <w:i/>
          <w:sz w:val="20"/>
        </w:rPr>
        <w:t>Purchase Rights</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Fundamental Transaction</w:t>
      </w:r>
      <w:r>
        <w:rPr>
          <w:rFonts w:ascii="Times New Roman" w:hAnsi="Times New Roman"/>
          <w:sz w:val="20"/>
        </w:rPr>
        <w:t xml:space="preserve">. The Company shall not enter into or be party to a Fundamental Transaction unless the Successor Entity assumes in writing all of the obligations of the Company under the Transaction Documents, including this Warrant in accordance with the provisions of this Section 4(b), including, if applicable,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Warrant Shares and/or Pre-Funded Warrants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hAnsi="Times New Roman"/>
          <w:b/>
          <w:i/>
          <w:sz w:val="20"/>
        </w:rPr>
        <w:t>Corporate Event</w:t>
      </w:r>
      <w:r>
        <w:rPr>
          <w:rFonts w:ascii="Times New Roman" w:hAnsi="Times New Roman"/>
          <w:sz w:val="20"/>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Warrant Shares and/or Pre-Funded Warrants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anything to the contrary, in the event of a Fundamental Transaction, the Company or any Successor Entity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hAnsi="Times New Roman"/>
          <w:b/>
          <w:i/>
          <w:sz w:val="20"/>
        </w:rPr>
        <w:t>Black Scholes Value</w:t>
      </w:r>
      <w:r>
        <w:rPr>
          <w:rFonts w:ascii="Times New Roman" w:hAnsi="Times New Roman"/>
          <w:sz w:val="20"/>
        </w:rPr>
        <w:t xml:space="preserve">”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Expiration Date, (B) an expected volatility equal to the 100 day volatility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Expiration Date and (E) a zero cost of borrow. The payment of the Black Scholes Value will be made by wire transfer of immediately available funds (or such other consideration) within five (5) Trading Days of the Holder’s election (or, if later, on the effective date of the Fundamental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sz w:val="20"/>
          <w:u w:val="single"/>
        </w:rPr>
        <w:t>NONCIRCUMVENTION</w:t>
      </w:r>
      <w:r>
        <w:rPr>
          <w:rFonts w:ascii="Times New Roman" w:hAnsi="Times New Roman"/>
          <w:sz w:val="20"/>
        </w:rPr>
        <w:t xml:space="preserve">. The Company hereby covenants and agrees that the Company will not, by amendment of its Certificate of Incorporation or Bylaws, each as amended to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for Warrant Shares,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sz w:val="20"/>
          <w:u w:val="single"/>
        </w:rPr>
        <w:t>WARRANT HOLDER NOT DEEMED A STOCKHOLDER</w:t>
      </w:r>
      <w:r>
        <w:rPr>
          <w:rFonts w:ascii="Times New Roman" w:hAnsi="Times New Roman"/>
          <w:sz w:val="20"/>
        </w:rPr>
        <w:t xml:space="preserve">.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such notices shall be deemed delivered if such notice is available on EDGAR. Without limiting any rights of a Holder to receive cash payments pursuant to Section 1(d) herein, in no event shall the Company be required to net cash settle an exercise of this Warrant.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sz w:val="20"/>
          <w:u w:val="single"/>
        </w:rPr>
        <w:t>REISSUANCE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of Warrant</w:t>
      </w:r>
      <w:r>
        <w:rPr>
          <w:rFonts w:ascii="Times New Roman" w:hAnsi="Times New Roman"/>
          <w:sz w:val="20"/>
        </w:rPr>
        <w:t xml:space="preserve">.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or Pre-Funded Warrants being transferred by the Holder and, if less than the total number of Warrant Shares or Pre-Funded Warrants then underlying this Warrant is being transferred, a new Warrant (in accordance with Section 7(d)) to the Holder representing the right to purchase the number of Warrant Shares or Pre-Funded Warrants not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Lost, Stolen or Mutilated Warrant</w:t>
      </w:r>
      <w:r>
        <w:rPr>
          <w:rFonts w:ascii="Times New Roman" w:hAnsi="Times New Roman"/>
          <w:sz w:val="20"/>
        </w:rPr>
        <w:t xml:space="preserve">.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or Pre-Funded Warrants then underlying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Exchangeable for Multiple Warrants</w:t>
      </w:r>
      <w:r>
        <w:rPr>
          <w:rFonts w:ascii="Times New Roman" w:hAnsi="Times New Roman"/>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or Pre-Funded Warrants then underlying this Warrant, and each such new Warrant will represent the right to purchase such portion of such Warrant Shares or Pre-Funded Warrants as is designated by the Holder at the time of such surrender.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Issuance of New Warrants</w:t>
      </w:r>
      <w:r>
        <w:rPr>
          <w:rFonts w:ascii="Times New Roman" w:hAnsi="Times New Roman"/>
          <w:sz w:val="20"/>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or Pre-Funded Warrants then underlying this Warrant (or in the case of a new Warrant being issued pursuant to Section 7(a) or Section 7(c),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 Shares or Pre-Funded Warrants designated by the Holder which, when added to the number of shares of Common Stock underlying the other new Warrants issued in connection with such issuance, does not exceed the number of Warrant Shares or Pre-Funded Warrants then underlying this Warrant), (iii) shall have an issuance date, as indicated on the face of such new Warrant which is the same as the Issuance Date, and (iv) shall have the same rights and conditions as this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CalciMedica, Inc. </w:t>
      </w:r>
    </w:p>
    <w:p>
      <w:pPr>
        <w:pStyle w:val="TextBody"/>
        <w:bidi w:val="0"/>
        <w:spacing w:before="0" w:after="0"/>
        <w:jc w:val="left"/>
        <w:rPr>
          <w:rFonts w:ascii="Times New Roman" w:hAnsi="Times New Roman"/>
          <w:sz w:val="20"/>
        </w:rPr>
      </w:pPr>
      <w:r>
        <w:rPr>
          <w:rFonts w:ascii="Times New Roman" w:hAnsi="Times New Roman"/>
          <w:sz w:val="20"/>
        </w:rPr>
        <w:t xml:space="preserve">505 Coast Boulevard South </w:t>
      </w:r>
    </w:p>
    <w:p>
      <w:pPr>
        <w:pStyle w:val="TextBody"/>
        <w:bidi w:val="0"/>
        <w:spacing w:before="0" w:after="0"/>
        <w:jc w:val="left"/>
        <w:rPr>
          <w:rFonts w:ascii="Times New Roman" w:hAnsi="Times New Roman"/>
          <w:sz w:val="20"/>
        </w:rPr>
      </w:pPr>
      <w:r>
        <w:rPr>
          <w:rFonts w:ascii="Times New Roman" w:hAnsi="Times New Roman"/>
          <w:sz w:val="20"/>
        </w:rPr>
        <w:t xml:space="preserve">Suite 307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0" w:after="0"/>
        <w:jc w:val="left"/>
        <w:rPr>
          <w:rFonts w:ascii="Times New Roman" w:hAnsi="Times New Roman"/>
          <w:sz w:val="20"/>
        </w:rPr>
      </w:pPr>
      <w:r>
        <w:rPr>
          <w:rFonts w:ascii="Times New Roman" w:hAnsi="Times New Roman"/>
          <w:sz w:val="20"/>
        </w:rPr>
        <w:t xml:space="preserve">Attn: John Dunn,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(ii) if to the Holder, at such address or other contact information delivered by the Holder to the Company or as is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promptly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or waived and the Company may take any action herein prohibited, or omit to perform any act herein required to be performed by it, only if the Company has obtained the written consent of the Holder; provided, however, that Section 1(f) may not be amended or waived except as specifically provided therein.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sz w:val="20"/>
          <w:u w:val="single"/>
        </w:rPr>
        <w:t>GOVERNING LAW; JURISDICTION; JURY TRIAL</w:t>
      </w:r>
      <w:r>
        <w:rPr>
          <w:rFonts w:ascii="Times New Roman" w:hAnsi="Times New Roman"/>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hAnsi="Times New Roman"/>
          <w:b/>
          <w:sz w:val="20"/>
        </w:rPr>
        <w:t>THE COMPANY HEREBY IRREVOCABLY WAIVES ANY RIGHT IT MAY HAVE, AND AGREES NOT TO REQUEST, A JURY TRIAL FOR THE ADJUDICATION OF ANY DISPUTE HEREUNDER OR IN CONNECTION WITH OR ARISING OUT OF THIS WARRANT OR ANY TRANSACTION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DISPUTE RESOLUTION</w:t>
      </w:r>
      <w:r>
        <w:rPr>
          <w:rFonts w:ascii="Times New Roman" w:hAnsi="Times New Roman"/>
          <w:sz w:val="20"/>
        </w:rPr>
        <w:t xml:space="preserve">. In the case of a dispute as to the determination of the Exercise Price or the arithmetic calculation of the Warrant Shares or Pre-Funded Warrants,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or Pre-Funded Warrants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or Pre-Funded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REMEDIES, OTHER OBLIGATIONS, BREACHES AND INJUNCTIVE RELIEF. The remedies</w:t>
      </w:r>
      <w:r>
        <w:rPr>
          <w:rFonts w:ascii="Times New Roman" w:hAnsi="Times New Roman"/>
          <w:sz w:val="20"/>
        </w:rPr>
        <w:t xml:space="preserve">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TRANSFER</w:t>
      </w:r>
      <w:r>
        <w:rPr>
          <w:rFonts w:ascii="Times New Roman" w:hAnsi="Times New Roman"/>
          <w:sz w:val="20"/>
        </w:rPr>
        <w:t xml:space="preserve">. This Warrant and the Warrant Shares or Pre-Funded Warrants may be offered for sale, sold, transferred, pledged or assigned without the consent of the Company.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SEVERABILITY; CONSTRUCTION; HEADINGS</w:t>
      </w:r>
      <w:r>
        <w:rPr>
          <w:rFonts w:ascii="Times New Roman" w:hAnsi="Times New Roman"/>
          <w:sz w:val="20"/>
        </w:rPr>
        <w:t xml:space="preserve">.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DISCLOSURE</w:t>
      </w:r>
      <w:r>
        <w:rPr>
          <w:rFonts w:ascii="Times New Roman" w:hAnsi="Times New Roman"/>
          <w:sz w:val="20"/>
        </w:rPr>
        <w:t xml:space="preserve">.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CERTAIN 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xml:space="preserve">”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Attribution Parties</w:t>
      </w:r>
      <w:r>
        <w:rPr>
          <w:rFonts w:ascii="Times New Roman" w:hAnsi="Times New Roman"/>
          <w:sz w:val="20"/>
        </w:rPr>
        <w:t xml:space="preserve">”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1934 Act. For clarity, the purpose of the foregoing is to subject collectively the Holder and all other Attribution Parties to the Maximum Percentage.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Change of Control</w:t>
      </w:r>
      <w:r>
        <w:rPr>
          <w:rFonts w:ascii="Times New Roman" w:hAnsi="Times New Roman"/>
          <w:sz w:val="20"/>
        </w:rPr>
        <w:t xml:space="preserve">”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Closing Sale Price</w:t>
      </w:r>
      <w:r>
        <w:rPr>
          <w:rFonts w:ascii="Times New Roman" w:hAnsi="Times New Roman"/>
          <w:sz w:val="20"/>
        </w:rPr>
        <w:t xml:space="preserve">” means, for any security as of any date, the last trade price for such security on the Principal Market for such security, as reported by Bloomberg Financial Markets, or, if such Principal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Common Stock</w:t>
      </w:r>
      <w:r>
        <w:rPr>
          <w:rFonts w:ascii="Times New Roman" w:hAnsi="Times New Roman"/>
          <w:sz w:val="20"/>
        </w:rPr>
        <w:t xml:space="preserve">” means (i) the Company’s Common Stock, par value $0.0001 per share, and (ii) any capital stock into which such Common Stock shall have been changed or any capital stock resulting from a reclassification of such Common Stock.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Common Stock Equivalents</w:t>
      </w:r>
      <w:r>
        <w:rPr>
          <w:rFonts w:ascii="Times New Roman" w:hAnsi="Times New Roman"/>
          <w:sz w:val="20"/>
        </w:rPr>
        <w:t xml:space="preserve">”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Convertible Securities</w:t>
      </w:r>
      <w:r>
        <w:rPr>
          <w:rFonts w:ascii="Times New Roman" w:hAnsi="Times New Roman"/>
          <w:sz w:val="20"/>
        </w:rPr>
        <w:t xml:space="preserve">” means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Eligible Market</w:t>
      </w:r>
      <w:r>
        <w:rPr>
          <w:rFonts w:ascii="Times New Roman" w:hAnsi="Times New Roman"/>
          <w:sz w:val="20"/>
        </w:rPr>
        <w:t xml:space="preserve">” means The Nasdaq Capital Market, the NYSE American LLC, The Nasdaq Global Select Market, The Nasdaq Global Market or The New York Stock Exchange, Inc.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Expiration Date</w:t>
      </w:r>
      <w:r>
        <w:rPr>
          <w:rFonts w:ascii="Times New Roman" w:hAnsi="Times New Roman"/>
          <w:sz w:val="20"/>
        </w:rPr>
        <w:t xml:space="preserve">” means June 25, 2031.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Fundamental Transaction</w:t>
      </w:r>
      <w:r>
        <w:rPr>
          <w:rFonts w:ascii="Times New Roman" w:hAnsi="Times New Roman"/>
          <w:sz w:val="20"/>
        </w:rPr>
        <w:t xml:space="preserve">” means (A) that the Company shall, directly or indirectly, including through subsidiaries, Affiliates or otherwise, in one or more related transactions, (i) consolidate or merge with or into another Subject Entity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or (ii) sell, assign, transfer, convey or otherwise dispose of all or substantially all of the properties or assets of the Company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the greater of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at the closing thereof, the greater of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(B) that the Company shall, directly or indirectly, including through subsidiaries, Affiliates or otherwise, in one or more related transactions, approve such transaction(s) in which any Subject Entity individually or the Subject Entities in the aggregate become the “beneficial owner” (as defined in Rule 13d-3 under the 1934 Act) at the closing thereof,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 similar transaction, of (x) the greater of (I) at least 50% of the aggregate voting power represented by issued and outstanding shares of Common Stock, and (II) at least 50% of the aggregate voting power represented by issued and outstanding shares of Common Stock not held by all such Subject Entities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Subscription Date calculated as if any shares of Common Stock held by all such Subject Entities were not outstanding, or (y) a percentage of the aggregate voting power represented by issued and outstanding shares of Common Stock or other equity securities of the Company sufficient to allow such Subject Entities to effect a statutory short form merger or other transaction requiring all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with the purpose of circumventing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Group</w:t>
      </w:r>
      <w:r>
        <w:rPr>
          <w:rFonts w:ascii="Times New Roman" w:hAnsi="Times New Roman"/>
          <w:sz w:val="20"/>
        </w:rPr>
        <w:t xml:space="preserve">” shall have the meaning ascribed to it in Section 13(d) of the 1934 Act, and all related rules, regulations and jurisprudence.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Options</w:t>
      </w:r>
      <w:r>
        <w:rPr>
          <w:rFonts w:ascii="Times New Roman" w:hAnsi="Times New Roman"/>
          <w:sz w:val="20"/>
        </w:rPr>
        <w:t xml:space="preserve">” means any rights, warrants or options to subscribe for or purchase shares of Common Stock or Convertible Securities.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Parent Entity</w:t>
      </w:r>
      <w:r>
        <w:rPr>
          <w:rFonts w:ascii="Times New Roman" w:hAnsi="Times New Roman"/>
          <w:sz w:val="20"/>
        </w:rPr>
        <w:t xml:space="preserve">” of a Person means an entity that, directly or indirectly, controls the applicable Person, including such entity whose common stock or equivalent equity security is quoted or listed on an Eligible Market, or, if there is more than one such Person or such entity, such Person or entity with the largest public market capitalization as of the date of consummation of the Fundamental Transaction or Change of Control.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Person</w:t>
      </w:r>
      <w:r>
        <w:rPr>
          <w:rFonts w:ascii="Times New Roman" w:hAnsi="Times New Roman"/>
          <w:sz w:val="20"/>
        </w:rPr>
        <w:t xml:space="preserve">” means an individual, a limited liability company, a partnership, a joint venture, a corporation, a trust, an unincorporated organization, any other entity and a government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Principal Market</w:t>
      </w:r>
      <w:r>
        <w:rPr>
          <w:rFonts w:ascii="Times New Roman" w:hAnsi="Times New Roman"/>
          <w:sz w:val="20"/>
        </w:rPr>
        <w:t xml:space="preserve">” means the national securities exchange or other trading market on which the Common Stock is primarily listed on and quoted for trading, which, as of the Issuance Date, is The Nasdaq Capital Market.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Required Holders</w:t>
      </w:r>
      <w:r>
        <w:rPr>
          <w:rFonts w:ascii="Times New Roman" w:hAnsi="Times New Roman"/>
          <w:sz w:val="20"/>
        </w:rPr>
        <w:t xml:space="preserve">” means the holders of this Warrant and/or the Other Warrants representing at least a majority of the shares of Common Stock underlying this Warrant and the Other Warrants then outstanding.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Standard Settlement Period</w:t>
      </w:r>
      <w:r>
        <w:rPr>
          <w:rFonts w:ascii="Times New Roman" w:hAnsi="Times New Roman"/>
          <w:sz w:val="20"/>
        </w:rPr>
        <w:t xml:space="preserve">” means the standard settlement period, expressed in a number of Trading Days, for the Principal Market with respect to the Common Stock that is in effect on the date of delivery of an applicable Exercise Notice (as determined in accordance with </w:t>
      </w:r>
      <w:r>
        <w:rPr>
          <w:rFonts w:ascii="Times New Roman" w:hAnsi="Times New Roman"/>
          <w:sz w:val="20"/>
          <w:u w:val="single"/>
        </w:rPr>
        <w:t>Section 8</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Subject Entity</w:t>
      </w:r>
      <w:r>
        <w:rPr>
          <w:rFonts w:ascii="Times New Roman" w:hAnsi="Times New Roman"/>
          <w:sz w:val="20"/>
        </w:rPr>
        <w:t xml:space="preserve">” means any Person or Group or any Affiliate or associate of any such Person or Group.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Successor Entity</w:t>
      </w:r>
      <w:r>
        <w:rPr>
          <w:rFonts w:ascii="Times New Roman" w:hAnsi="Times New Roman"/>
          <w:sz w:val="20"/>
        </w:rPr>
        <w:t xml:space="preserve">” means a Person formed by, resulting from or surviving any Fundamental Transaction or Change of Control or a Person which such Fundamental Transaction or Change of Control shall have been entered into or its Parent Entity if the holders of Common Stock receive securities of such Parent Entity in such Fundamental Transaction or Change of Control.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Trading Day</w:t>
      </w:r>
      <w:r>
        <w:rPr>
          <w:rFonts w:ascii="Times New Roman" w:hAnsi="Times New Roman"/>
          <w:sz w:val="20"/>
        </w:rPr>
        <w:t xml:space="preserve">” means any weekday on which the Principal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Transaction Documents</w:t>
      </w:r>
      <w:r>
        <w:rPr>
          <w:rFonts w:ascii="Times New Roman" w:hAnsi="Times New Roman"/>
          <w:sz w:val="20"/>
        </w:rPr>
        <w:t xml:space="preserve">” means this Warrant, that certain Securities Purchase Agreement, dated June 23, 2026, by and between the Company and the purchasers set forth therein, and any agreement entered into by and between the Company and the Holder, as applicable, in connection with such agreements. </w:t>
      </w:r>
    </w:p>
    <w:p>
      <w:pPr>
        <w:pStyle w:val="TextBody"/>
        <w:bidi w:val="0"/>
        <w:spacing w:before="240" w:after="0"/>
        <w:jc w:val="center"/>
        <w:rPr>
          <w:rFonts w:ascii="Times New Roman" w:hAnsi="Times New Roman"/>
          <w:b/>
          <w:sz w:val="20"/>
        </w:rPr>
      </w:pPr>
      <w:r>
        <w:rPr>
          <w:rFonts w:ascii="Times New Roman" w:hAnsi="Times New Roman"/>
          <w:b/>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Purchase Common Stock to be duly executed as of the Issuance Date set out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573"/>
        <w:gridCol w:w="151"/>
        <w:gridCol w:w="2358"/>
      </w:tblGrid>
      <w:tr>
        <w:trPr/>
        <w:tc>
          <w:tcPr>
            <w:tcW w:w="157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CALCIMEDICA, INC.</w:t>
            </w:r>
          </w:p>
        </w:tc>
      </w:tr>
      <w:tr>
        <w:trPr>
          <w:trHeight w:val="240" w:hRule="atLeast"/>
        </w:trPr>
        <w:tc>
          <w:tcPr>
            <w:tcW w:w="1573" w:type="dxa"/>
            <w:tcBorders/>
            <w:vAlign w:val="center"/>
          </w:tcPr>
          <w:p>
            <w:pPr>
              <w:pStyle w:val="TableContents"/>
              <w:bidi w:val="0"/>
              <w:spacing w:before="0" w:after="283"/>
              <w:jc w:val="left"/>
              <w:rPr>
                <w:sz w:val="4"/>
                <w:szCs w:val="4"/>
              </w:rPr>
            </w:pPr>
            <w:r>
              <w:rPr>
                <w:sz w:val="4"/>
                <w:szCs w:val="4"/>
              </w:rPr>
            </w:r>
          </w:p>
        </w:tc>
        <w:tc>
          <w:tcPr>
            <w:tcW w:w="2509" w:type="dxa"/>
            <w:gridSpan w:val="2"/>
            <w:tcBorders/>
            <w:vAlign w:val="center"/>
          </w:tcPr>
          <w:p>
            <w:pPr>
              <w:pStyle w:val="TableContents"/>
              <w:bidi w:val="0"/>
              <w:spacing w:before="0" w:after="283"/>
              <w:jc w:val="left"/>
              <w:rPr>
                <w:sz w:val="4"/>
                <w:szCs w:val="4"/>
              </w:rPr>
            </w:pPr>
            <w:r>
              <w:rPr>
                <w:sz w:val="4"/>
                <w:szCs w:val="4"/>
              </w:rPr>
            </w:r>
          </w:p>
        </w:tc>
      </w:tr>
      <w:tr>
        <w:trPr/>
        <w:tc>
          <w:tcPr>
            <w:tcW w:w="1573" w:type="dxa"/>
            <w:tcBorders/>
          </w:tcPr>
          <w:p>
            <w:pPr>
              <w:pStyle w:val="TableContents"/>
              <w:bidi w:val="0"/>
              <w:spacing w:before="0" w:after="283"/>
              <w:jc w:val="left"/>
              <w:rPr/>
            </w:pPr>
            <w:r>
              <w:rPr/>
              <w:t>By:</w:t>
            </w:r>
          </w:p>
        </w:tc>
        <w:tc>
          <w:tcPr>
            <w:tcW w:w="151" w:type="dxa"/>
            <w:tcBorders/>
            <w:vAlign w:val="bottom"/>
          </w:tcPr>
          <w:p>
            <w:pPr>
              <w:pStyle w:val="TableContents"/>
              <w:bidi w:val="0"/>
              <w:spacing w:before="0" w:after="283"/>
              <w:jc w:val="left"/>
              <w:rPr/>
            </w:pPr>
            <w:r>
              <w:rPr/>
              <w:t> </w:t>
            </w:r>
          </w:p>
        </w:tc>
        <w:tc>
          <w:tcPr>
            <w:tcW w:w="2358" w:type="dxa"/>
            <w:tcBorders/>
          </w:tcPr>
          <w:p>
            <w:pPr>
              <w:pStyle w:val="TableContents"/>
              <w:pBdr>
                <w:bottom w:val="single" w:sz="2" w:space="1" w:color="000000"/>
              </w:pBdr>
              <w:bidi w:val="0"/>
              <w:spacing w:before="0" w:after="20"/>
              <w:jc w:val="left"/>
              <w:rPr/>
            </w:pPr>
            <w:r>
              <w:rPr/>
              <w:t> </w:t>
            </w:r>
          </w:p>
        </w:tc>
      </w:tr>
      <w:tr>
        <w:trPr>
          <w:trHeight w:val="240" w:hRule="atLeast"/>
        </w:trPr>
        <w:tc>
          <w:tcPr>
            <w:tcW w:w="1573" w:type="dxa"/>
            <w:tcBorders/>
            <w:vAlign w:val="center"/>
          </w:tcPr>
          <w:p>
            <w:pPr>
              <w:pStyle w:val="TableContents"/>
              <w:bidi w:val="0"/>
              <w:spacing w:before="0" w:after="283"/>
              <w:jc w:val="left"/>
              <w:rPr>
                <w:sz w:val="4"/>
                <w:szCs w:val="4"/>
              </w:rPr>
            </w:pPr>
            <w:r>
              <w:rPr>
                <w:sz w:val="4"/>
                <w:szCs w:val="4"/>
              </w:rPr>
            </w:r>
          </w:p>
        </w:tc>
        <w:tc>
          <w:tcPr>
            <w:tcW w:w="2509" w:type="dxa"/>
            <w:gridSpan w:val="2"/>
            <w:tcBorders/>
            <w:vAlign w:val="center"/>
          </w:tcPr>
          <w:p>
            <w:pPr>
              <w:pStyle w:val="TableContents"/>
              <w:bidi w:val="0"/>
              <w:spacing w:before="0" w:after="283"/>
              <w:jc w:val="left"/>
              <w:rPr>
                <w:sz w:val="4"/>
                <w:szCs w:val="4"/>
              </w:rPr>
            </w:pPr>
            <w:r>
              <w:rPr>
                <w:sz w:val="4"/>
                <w:szCs w:val="4"/>
              </w:rPr>
            </w:r>
          </w:p>
        </w:tc>
      </w:tr>
      <w:tr>
        <w:trPr/>
        <w:tc>
          <w:tcPr>
            <w:tcW w:w="1573" w:type="dxa"/>
            <w:tcBorders/>
          </w:tcPr>
          <w:p>
            <w:pPr>
              <w:pStyle w:val="TableContents"/>
              <w:bidi w:val="0"/>
              <w:spacing w:before="0" w:after="283"/>
              <w:jc w:val="left"/>
              <w:rPr/>
            </w:pPr>
            <w:r>
              <w:rPr/>
              <w:t>Name:</w:t>
            </w:r>
          </w:p>
        </w:tc>
        <w:tc>
          <w:tcPr>
            <w:tcW w:w="151" w:type="dxa"/>
            <w:tcBorders/>
            <w:vAlign w:val="bottom"/>
          </w:tcPr>
          <w:p>
            <w:pPr>
              <w:pStyle w:val="TableContents"/>
              <w:bidi w:val="0"/>
              <w:spacing w:before="0" w:after="283"/>
              <w:jc w:val="left"/>
              <w:rPr/>
            </w:pPr>
            <w:r>
              <w:rPr/>
              <w:t> </w:t>
            </w:r>
          </w:p>
        </w:tc>
        <w:tc>
          <w:tcPr>
            <w:tcW w:w="2358" w:type="dxa"/>
            <w:tcBorders/>
          </w:tcPr>
          <w:p>
            <w:pPr>
              <w:pStyle w:val="TableContents"/>
              <w:pBdr>
                <w:bottom w:val="single" w:sz="2" w:space="1" w:color="000000"/>
              </w:pBdr>
              <w:bidi w:val="0"/>
              <w:spacing w:before="0" w:after="20"/>
              <w:jc w:val="left"/>
              <w:rPr/>
            </w:pPr>
            <w:r>
              <w:rPr/>
              <w:t> </w:t>
            </w:r>
          </w:p>
        </w:tc>
      </w:tr>
      <w:tr>
        <w:trPr>
          <w:trHeight w:val="240" w:hRule="atLeast"/>
        </w:trPr>
        <w:tc>
          <w:tcPr>
            <w:tcW w:w="1573" w:type="dxa"/>
            <w:tcBorders/>
            <w:vAlign w:val="center"/>
          </w:tcPr>
          <w:p>
            <w:pPr>
              <w:pStyle w:val="TableContents"/>
              <w:bidi w:val="0"/>
              <w:spacing w:before="0" w:after="283"/>
              <w:jc w:val="left"/>
              <w:rPr>
                <w:sz w:val="4"/>
                <w:szCs w:val="4"/>
              </w:rPr>
            </w:pPr>
            <w:r>
              <w:rPr>
                <w:sz w:val="4"/>
                <w:szCs w:val="4"/>
              </w:rPr>
            </w:r>
          </w:p>
        </w:tc>
        <w:tc>
          <w:tcPr>
            <w:tcW w:w="2509" w:type="dxa"/>
            <w:gridSpan w:val="2"/>
            <w:tcBorders/>
            <w:vAlign w:val="center"/>
          </w:tcPr>
          <w:p>
            <w:pPr>
              <w:pStyle w:val="TableContents"/>
              <w:bidi w:val="0"/>
              <w:spacing w:before="0" w:after="283"/>
              <w:jc w:val="left"/>
              <w:rPr>
                <w:sz w:val="4"/>
                <w:szCs w:val="4"/>
              </w:rPr>
            </w:pPr>
            <w:r>
              <w:rPr>
                <w:sz w:val="4"/>
                <w:szCs w:val="4"/>
              </w:rPr>
            </w:r>
          </w:p>
        </w:tc>
      </w:tr>
      <w:tr>
        <w:trPr/>
        <w:tc>
          <w:tcPr>
            <w:tcW w:w="1573" w:type="dxa"/>
            <w:tcBorders/>
          </w:tcPr>
          <w:p>
            <w:pPr>
              <w:pStyle w:val="TableContents"/>
              <w:bidi w:val="0"/>
              <w:spacing w:before="0" w:after="283"/>
              <w:jc w:val="left"/>
              <w:rPr/>
            </w:pPr>
            <w:r>
              <w:rPr/>
              <w:t>Title:</w:t>
            </w:r>
          </w:p>
        </w:tc>
        <w:tc>
          <w:tcPr>
            <w:tcW w:w="151" w:type="dxa"/>
            <w:tcBorders/>
            <w:vAlign w:val="bottom"/>
          </w:tcPr>
          <w:p>
            <w:pPr>
              <w:pStyle w:val="TableContents"/>
              <w:bidi w:val="0"/>
              <w:spacing w:before="0" w:after="283"/>
              <w:jc w:val="left"/>
              <w:rPr/>
            </w:pPr>
            <w:r>
              <w:rPr/>
              <w:t> </w:t>
            </w:r>
          </w:p>
        </w:tc>
        <w:tc>
          <w:tcPr>
            <w:tcW w:w="235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240" w:after="0"/>
        <w:jc w:val="center"/>
        <w:rPr>
          <w:rFonts w:ascii="Times New Roman" w:hAnsi="Times New Roman"/>
          <w:b/>
          <w:sz w:val="20"/>
        </w:rPr>
      </w:pPr>
      <w:r>
        <w:rPr>
          <w:rFonts w:ascii="Times New Roman" w:hAnsi="Times New Roman"/>
          <w:b/>
          <w:sz w:val="20"/>
        </w:rPr>
        <w:t xml:space="preserve">TO BE EXECUTED BY THE REGISTERED HOLDER TO EXERCISE THIS </w:t>
      </w:r>
    </w:p>
    <w:p>
      <w:pPr>
        <w:pStyle w:val="TextBody"/>
        <w:bidi w:val="0"/>
        <w:spacing w:before="0" w:after="0"/>
        <w:jc w:val="center"/>
        <w:rPr>
          <w:rFonts w:ascii="Times New Roman" w:hAnsi="Times New Roman"/>
          <w:b/>
          <w:sz w:val="20"/>
        </w:rPr>
      </w:pPr>
      <w:r>
        <w:rPr>
          <w:rFonts w:ascii="Times New Roman" w:hAnsi="Times New Roman"/>
          <w:b/>
          <w:sz w:val="20"/>
        </w:rPr>
        <w:t xml:space="preserve">SERIES B WARRANT TO PURCHASE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240" w:after="0"/>
        <w:jc w:val="left"/>
        <w:rPr>
          <w:rFonts w:ascii="Times New Roman" w:hAnsi="Times New Roman"/>
          <w:sz w:val="20"/>
        </w:rPr>
      </w:pPr>
      <w:r>
        <w:rPr>
          <w:rFonts w:ascii="Times New Roman" w:hAnsi="Times New Roman"/>
          <w:sz w:val="20"/>
        </w:rPr>
        <w:t>The undersigned holder hereby exercises the right to purchase _________________ shares of Common Stock (“</w:t>
      </w:r>
      <w:r>
        <w:rPr>
          <w:rFonts w:ascii="Times New Roman" w:hAnsi="Times New Roman"/>
          <w:b/>
          <w:i/>
          <w:sz w:val="20"/>
        </w:rPr>
        <w:t>Warrant Shares</w:t>
      </w:r>
      <w:r>
        <w:rPr>
          <w:rFonts w:ascii="Times New Roman" w:hAnsi="Times New Roman"/>
          <w:sz w:val="20"/>
        </w:rPr>
        <w:t>”) and/or pre-funded warrants to purchase ________________ shares of Common Stock at a purchase price of $0.0001 (the “</w:t>
      </w:r>
      <w:r>
        <w:rPr>
          <w:rFonts w:ascii="Times New Roman" w:hAnsi="Times New Roman"/>
          <w:b/>
          <w:i/>
          <w:sz w:val="20"/>
        </w:rPr>
        <w:t>Pre-Funded Warrants</w:t>
      </w:r>
      <w:r>
        <w:rPr>
          <w:rFonts w:ascii="Times New Roman" w:hAnsi="Times New Roman"/>
          <w:sz w:val="20"/>
        </w:rPr>
        <w:t>”) of CalciMedica, Inc., a Delaware corporation (the “</w:t>
      </w:r>
      <w:r>
        <w:rPr>
          <w:rFonts w:ascii="Times New Roman" w:hAnsi="Times New Roman"/>
          <w:b/>
          <w:i/>
          <w:sz w:val="20"/>
        </w:rPr>
        <w:t>Company</w:t>
      </w:r>
      <w:r>
        <w:rPr>
          <w:rFonts w:ascii="Times New Roman" w:hAnsi="Times New Roman"/>
          <w:sz w:val="20"/>
        </w:rPr>
        <w:t>”), evidenced by the attached Series B Warrant to Purchase Common Stock (the “</w:t>
      </w:r>
      <w:r>
        <w:rPr>
          <w:rFonts w:ascii="Times New Roman" w:hAnsi="Times New Roman"/>
          <w:b/>
          <w:i/>
          <w:sz w:val="20"/>
        </w:rPr>
        <w:t>Warrant</w:t>
      </w:r>
      <w:r>
        <w:rPr>
          <w:rFonts w:ascii="Times New Roman" w:hAnsi="Times New Roman"/>
          <w:sz w:val="20"/>
        </w:rPr>
        <w:t xml:space="preserve">”). Capitalized terms used herein and not otherwise defined shall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 xml:space="preserve">1. Exercise Price. The Holder intends that payment of the Exercise Price shall be made with respect to _________________ Warrant Shares and/or Pre-Funded Warrants exercisable for _______________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2. Payment of Exercise Price. The Holder shall pay the Aggregate Exercise Price in the sum of $___________________ to the Company in accordance with the terms of the Warrant, and/or in lieu of cash payment, a “Cashless Exercise” with respect to ____________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3. Delivery of Warrant Shares and/or Pre-Funded Warrants. The Company shall deliver to the holder _______________ Warrant Shares and/or Pre-Funded Warrants exercisable for ____________ shares of Common Stock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 ______ </w:t>
      </w:r>
    </w:p>
    <w:p>
      <w:pPr>
        <w:pStyle w:val="TextBody"/>
        <w:bidi w:val="0"/>
        <w:spacing w:before="240" w:after="0"/>
        <w:jc w:val="left"/>
        <w:rPr>
          <w:rFonts w:ascii="Times New Roman" w:hAnsi="Times New Roman"/>
          <w:sz w:val="20"/>
        </w:rPr>
      </w:pPr>
      <w:r>
        <w:rPr>
          <w:rFonts w:ascii="Times New Roman" w:hAnsi="Times New Roman"/>
          <w:sz w:val="20"/>
        </w:rPr>
        <w:t xml:space="preserve">Name of Registered Holder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r>
        <w:trPr>
          <w:trHeight w:val="240" w:hRule="atLeast"/>
        </w:trPr>
        <w:tc>
          <w:tcPr>
            <w:tcW w:w="735" w:type="dxa"/>
            <w:tcBorders/>
            <w:vAlign w:val="center"/>
          </w:tcPr>
          <w:p>
            <w:pPr>
              <w:pStyle w:val="TableContents"/>
              <w:bidi w:val="0"/>
              <w:spacing w:before="0" w:after="283"/>
              <w:jc w:val="left"/>
              <w:rPr>
                <w:sz w:val="4"/>
                <w:szCs w:val="4"/>
              </w:rPr>
            </w:pPr>
            <w:r>
              <w:rPr>
                <w:sz w:val="4"/>
                <w:szCs w:val="4"/>
              </w:rPr>
            </w:r>
          </w:p>
        </w:tc>
        <w:tc>
          <w:tcPr>
            <w:tcW w:w="3347"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r>
        <w:trPr>
          <w:trHeight w:val="240" w:hRule="atLeast"/>
        </w:trPr>
        <w:tc>
          <w:tcPr>
            <w:tcW w:w="735" w:type="dxa"/>
            <w:tcBorders/>
            <w:vAlign w:val="center"/>
          </w:tcPr>
          <w:p>
            <w:pPr>
              <w:pStyle w:val="TableContents"/>
              <w:bidi w:val="0"/>
              <w:spacing w:before="0" w:after="283"/>
              <w:jc w:val="left"/>
              <w:rPr>
                <w:sz w:val="4"/>
                <w:szCs w:val="4"/>
              </w:rPr>
            </w:pPr>
            <w:r>
              <w:rPr>
                <w:sz w:val="4"/>
                <w:szCs w:val="4"/>
              </w:rPr>
            </w:r>
          </w:p>
        </w:tc>
        <w:tc>
          <w:tcPr>
            <w:tcW w:w="3347"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[See separate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p>
    <w:p>
      <w:pPr>
        <w:pStyle w:val="TextBody"/>
        <w:bidi w:val="0"/>
        <w:spacing w:before="0" w:after="0"/>
        <w:jc w:val="right"/>
        <w:rPr>
          <w:rFonts w:ascii="Times New Roman" w:hAnsi="Times New Roman"/>
          <w:b/>
          <w:sz w:val="20"/>
        </w:rPr>
      </w:pPr>
      <w:bookmarkStart w:id="19" w:name="d169379dex51.htm"/>
      <w:bookmarkStart w:id="20" w:name="ksd169379dex51"/>
      <w:bookmarkEnd w:id="19"/>
      <w:bookmarkEnd w:id="20"/>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525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6"/>
                    <a:stretch>
                      <a:fillRect/>
                    </a:stretch>
                  </pic:blipFill>
                  <pic:spPr bwMode="auto">
                    <a:xfrm>
                      <a:off x="0" y="0"/>
                      <a:ext cx="1552575" cy="6381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Carlos A. Ramirez </w:t>
      </w:r>
    </w:p>
    <w:p>
      <w:pPr>
        <w:pStyle w:val="TextBody"/>
        <w:bidi w:val="0"/>
        <w:spacing w:before="0" w:after="0"/>
        <w:jc w:val="left"/>
        <w:rPr>
          <w:rFonts w:ascii="Times New Roman" w:hAnsi="Times New Roman"/>
          <w:sz w:val="20"/>
        </w:rPr>
      </w:pPr>
      <w:r>
        <w:rPr>
          <w:rFonts w:ascii="Times New Roman" w:hAnsi="Times New Roman"/>
          <w:sz w:val="20"/>
        </w:rPr>
        <w:t xml:space="preserve">+1 858 550 6157 </w:t>
      </w:r>
    </w:p>
    <w:p>
      <w:pPr>
        <w:pStyle w:val="TextBody"/>
        <w:bidi w:val="0"/>
        <w:spacing w:before="0" w:after="0"/>
        <w:jc w:val="left"/>
        <w:rPr>
          <w:rFonts w:ascii="Times New Roman" w:hAnsi="Times New Roman"/>
          <w:sz w:val="20"/>
        </w:rPr>
      </w:pPr>
      <w:r>
        <w:rPr>
          <w:rFonts w:ascii="Times New Roman" w:hAnsi="Times New Roman"/>
          <w:sz w:val="20"/>
        </w:rPr>
        <w:t xml:space="preserve">cramirez@cooley.com </w:t>
      </w:r>
    </w:p>
    <w:p>
      <w:pPr>
        <w:pStyle w:val="TextBody"/>
        <w:bidi w:val="0"/>
        <w:spacing w:before="240" w:after="0"/>
        <w:jc w:val="left"/>
        <w:rPr>
          <w:rFonts w:ascii="Times New Roman" w:hAnsi="Times New Roman"/>
          <w:sz w:val="20"/>
        </w:rPr>
      </w:pPr>
      <w:r>
        <w:rPr>
          <w:rFonts w:ascii="Times New Roman" w:hAnsi="Times New Roman"/>
          <w:sz w:val="20"/>
        </w:rPr>
        <w:t xml:space="preserve">July 24, 2026 </w:t>
      </w:r>
    </w:p>
    <w:p>
      <w:pPr>
        <w:pStyle w:val="TextBody"/>
        <w:bidi w:val="0"/>
        <w:spacing w:before="240" w:after="0"/>
        <w:jc w:val="left"/>
        <w:rPr>
          <w:rFonts w:ascii="Times New Roman" w:hAnsi="Times New Roman"/>
          <w:sz w:val="20"/>
        </w:rPr>
      </w:pPr>
      <w:r>
        <w:rPr>
          <w:rFonts w:ascii="Times New Roman" w:hAnsi="Times New Roman"/>
          <w:sz w:val="20"/>
        </w:rPr>
        <w:t xml:space="preserve">CalciMedica, Inc. </w:t>
      </w:r>
    </w:p>
    <w:p>
      <w:pPr>
        <w:pStyle w:val="TextBody"/>
        <w:bidi w:val="0"/>
        <w:spacing w:before="0" w:after="0"/>
        <w:jc w:val="left"/>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left"/>
        <w:rPr>
          <w:rFonts w:ascii="Times New Roman" w:hAnsi="Times New Roman"/>
          <w:sz w:val="20"/>
        </w:rPr>
      </w:pPr>
      <w:r>
        <w:rPr>
          <w:rFonts w:ascii="Times New Roman" w:hAnsi="Times New Roman"/>
          <w:sz w:val="20"/>
        </w:rPr>
        <w:t xml:space="preserve">La Jolla, California 92037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CalciMedica,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an aggregate of 56,020,287 shares of the Company’s common stock, par value $0.0001 per share (the “</w:t>
      </w:r>
      <w:r>
        <w:rPr>
          <w:rFonts w:ascii="Times New Roman" w:hAnsi="Times New Roman"/>
          <w:b/>
          <w:i/>
          <w:sz w:val="20"/>
        </w:rPr>
        <w:t>Common Stock</w:t>
      </w:r>
      <w:r>
        <w:rPr>
          <w:rFonts w:ascii="Times New Roman" w:hAnsi="Times New Roman"/>
          <w:sz w:val="20"/>
        </w:rPr>
        <w:t>”), which consists of (i) 14,938,370 shares (the “</w:t>
      </w:r>
      <w:r>
        <w:rPr>
          <w:rFonts w:ascii="Times New Roman" w:hAnsi="Times New Roman"/>
          <w:b/>
          <w:i/>
          <w:sz w:val="20"/>
        </w:rPr>
        <w:t>Shares</w:t>
      </w:r>
      <w:r>
        <w:rPr>
          <w:rFonts w:ascii="Times New Roman" w:hAnsi="Times New Roman"/>
          <w:sz w:val="20"/>
        </w:rPr>
        <w:t>”) of Common Stock currently outstanding; (ii) 3,735,059 shares (the “</w:t>
      </w:r>
      <w:r>
        <w:rPr>
          <w:rFonts w:ascii="Times New Roman" w:hAnsi="Times New Roman"/>
          <w:b/>
          <w:i/>
          <w:sz w:val="20"/>
        </w:rPr>
        <w:t>Pre-Funded Warrant Shares</w:t>
      </w:r>
      <w:r>
        <w:rPr>
          <w:rFonts w:ascii="Times New Roman" w:hAnsi="Times New Roman"/>
          <w:sz w:val="20"/>
        </w:rPr>
        <w:t>”) of Common Stock issuable upon the exercise of pre-funded warrants to purchase shares of Common Stock (the “</w:t>
      </w:r>
      <w:r>
        <w:rPr>
          <w:rFonts w:ascii="Times New Roman" w:hAnsi="Times New Roman"/>
          <w:b/>
          <w:i/>
          <w:sz w:val="20"/>
        </w:rPr>
        <w:t>Pre-Funded Warrants</w:t>
      </w:r>
      <w:r>
        <w:rPr>
          <w:rFonts w:ascii="Times New Roman" w:hAnsi="Times New Roman"/>
          <w:sz w:val="20"/>
        </w:rPr>
        <w:t>”); (iii) 18,673,429 shares of Common Stock (the “</w:t>
      </w:r>
      <w:r>
        <w:rPr>
          <w:rFonts w:ascii="Times New Roman" w:hAnsi="Times New Roman"/>
          <w:b/>
          <w:i/>
          <w:sz w:val="20"/>
        </w:rPr>
        <w:t>Series A Warrant Shares</w:t>
      </w:r>
      <w:r>
        <w:rPr>
          <w:rFonts w:ascii="Times New Roman" w:hAnsi="Times New Roman"/>
          <w:sz w:val="20"/>
        </w:rPr>
        <w:t>”) issuable upon the exercise of Series A common warrants to purchase shares of Common Stock (the “</w:t>
      </w:r>
      <w:r>
        <w:rPr>
          <w:rFonts w:ascii="Times New Roman" w:hAnsi="Times New Roman"/>
          <w:b/>
          <w:i/>
          <w:sz w:val="20"/>
        </w:rPr>
        <w:t>Series A Common Warrants</w:t>
      </w:r>
      <w:r>
        <w:rPr>
          <w:rFonts w:ascii="Times New Roman" w:hAnsi="Times New Roman"/>
          <w:sz w:val="20"/>
        </w:rPr>
        <w:t>”), and (iv) 18,673,429 shares of Common Stock (the “</w:t>
      </w:r>
      <w:r>
        <w:rPr>
          <w:rFonts w:ascii="Times New Roman" w:hAnsi="Times New Roman"/>
          <w:b/>
          <w:i/>
          <w:sz w:val="20"/>
        </w:rPr>
        <w:t>Series B Warrant Shares</w:t>
      </w:r>
      <w:r>
        <w:rPr>
          <w:rFonts w:ascii="Times New Roman" w:hAnsi="Times New Roman"/>
          <w:sz w:val="20"/>
        </w:rPr>
        <w:t>” and together with the Series A Warrant Shares and the Pre-Funded Warrant Shares, the “</w:t>
      </w:r>
      <w:r>
        <w:rPr>
          <w:rFonts w:ascii="Times New Roman" w:hAnsi="Times New Roman"/>
          <w:b/>
          <w:i/>
          <w:sz w:val="20"/>
        </w:rPr>
        <w:t>Warrant Shares</w:t>
      </w:r>
      <w:r>
        <w:rPr>
          <w:rFonts w:ascii="Times New Roman" w:hAnsi="Times New Roman"/>
          <w:sz w:val="20"/>
        </w:rPr>
        <w:t>”) issuable upon the exercise of Series B common warrants to purchase shares of Common Stock (the “</w:t>
      </w:r>
      <w:r>
        <w:rPr>
          <w:rFonts w:ascii="Times New Roman" w:hAnsi="Times New Roman"/>
          <w:b/>
          <w:i/>
          <w:sz w:val="20"/>
        </w:rPr>
        <w:t>Series B Common Warrants</w:t>
      </w:r>
      <w:r>
        <w:rPr>
          <w:rFonts w:ascii="Times New Roman" w:hAnsi="Times New Roman"/>
          <w:sz w:val="20"/>
        </w:rPr>
        <w:t>” and together with the Series A Common Warrants, the “</w:t>
      </w:r>
      <w:r>
        <w:rPr>
          <w:rFonts w:ascii="Times New Roman" w:hAnsi="Times New Roman"/>
          <w:b/>
          <w:i/>
          <w:sz w:val="20"/>
        </w:rPr>
        <w:t>Common Warrants</w:t>
      </w:r>
      <w:r>
        <w:rPr>
          <w:rFonts w:ascii="Times New Roman" w:hAnsi="Times New Roman"/>
          <w:sz w:val="20"/>
        </w:rPr>
        <w:t>”). The Shares and the Pre-Funded Warrants were issued by the Company pursuant to that certain Securities Purchase Agreement (the “</w:t>
      </w:r>
      <w:r>
        <w:rPr>
          <w:rFonts w:ascii="Times New Roman" w:hAnsi="Times New Roman"/>
          <w:b/>
          <w:i/>
          <w:sz w:val="20"/>
        </w:rPr>
        <w:t>Agreement</w:t>
      </w:r>
      <w:r>
        <w:rPr>
          <w:rFonts w:ascii="Times New Roman" w:hAnsi="Times New Roman"/>
          <w:sz w:val="20"/>
        </w:rPr>
        <w:t xml:space="preserve">”) dated June 23, 2026. The Common Warrants are issuable pursuant to the Agreement, and the investors party to the Agreement are irrevocably committed to acquire the Common Warrants, subject only to the receipt of stockholder approval of the issuance.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Agreement, the Pre-Funded Warrants, the Common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 </w:t>
      </w:r>
    </w:p>
    <w:p>
      <w:pPr>
        <w:pStyle w:val="TextBody"/>
        <w:bidi w:val="0"/>
        <w:spacing w:before="24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52575" cy="63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7"/>
                    <a:stretch>
                      <a:fillRect/>
                    </a:stretch>
                  </pic:blipFill>
                  <pic:spPr bwMode="auto">
                    <a:xfrm>
                      <a:off x="0" y="0"/>
                      <a:ext cx="1552575" cy="6381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CalciMedica, Inc. </w:t>
      </w:r>
    </w:p>
    <w:p>
      <w:pPr>
        <w:pStyle w:val="TextBody"/>
        <w:bidi w:val="0"/>
        <w:spacing w:before="0" w:after="0"/>
        <w:jc w:val="left"/>
        <w:rPr>
          <w:rFonts w:ascii="Times New Roman" w:hAnsi="Times New Roman"/>
          <w:sz w:val="20"/>
        </w:rPr>
      </w:pPr>
      <w:r>
        <w:rPr>
          <w:rFonts w:ascii="Times New Roman" w:hAnsi="Times New Roman"/>
          <w:sz w:val="20"/>
        </w:rPr>
        <w:t xml:space="preserve">July 24,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and in reliance thereon, and subject to the assumption, qualifications, limitations and exceptions set forth herein, we are of the opinion that (i) the Shares are validly issued, fully paid and nonassessable and (ii) the Warrant Shares, when issued and paid for in accordance with the terms of the Warrants,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b/>
          <w:sz w:val="20"/>
        </w:rPr>
      </w:pPr>
      <w:r>
        <w:rPr>
          <w:rFonts w:ascii="Times New Roman" w:hAnsi="Times New Roman"/>
          <w:b/>
          <w:sz w:val="20"/>
        </w:rPr>
        <w:t xml:space="preserve">COOLEY LLP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Carlos A. Ramirez</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Carlos A. Ramirez</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1" w:name="d169379dex231.htm"/>
      <w:bookmarkStart w:id="22" w:name="ksd169379dex231"/>
      <w:bookmarkEnd w:id="21"/>
      <w:bookmarkEnd w:id="2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CalciMedica, Inc. (the “Company”) of our report dated March 3, 2026, relating to the consolidated financial statements of the Company (which report expresses an unqualified opinion and includes an explanatory paragraph relating to a going concern uncertainty), appearing in the Annual Report on Form 10-K of the Company for the year ended December 31, 2025, filed with the Securities and Exchange Commission.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Baker Tilly US,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July 24, 2026 </w:t>
      </w:r>
    </w:p>
    <w:p>
      <w:pPr>
        <w:pStyle w:val="Normal"/>
        <w:bidi w:val="0"/>
        <w:spacing w:before="0" w:after="0"/>
        <w:jc w:val="left"/>
        <w:rPr>
          <w:sz w:val="4"/>
          <w:szCs w:val="4"/>
        </w:rPr>
      </w:pPr>
      <w:r>
        <w:rPr>
          <w:sz w:val="4"/>
          <w:szCs w:val="4"/>
        </w:rPr>
      </w:r>
      <w:bookmarkStart w:id="23" w:name="d169379dexfilingfees.htm"/>
      <w:bookmarkStart w:id="24" w:name="ksd169379dexfilingfees"/>
      <w:bookmarkStart w:id="25" w:name="d169379dexfilingfees.htm"/>
      <w:bookmarkStart w:id="26" w:name="ksd169379dexfilingfees"/>
      <w:bookmarkEnd w:id="25"/>
      <w:bookmarkEnd w:id="26"/>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CalciMedica,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56,020,287 </w:t>
            </w:r>
          </w:p>
        </w:tc>
        <w:tc>
          <w:tcPr>
            <w:tcW w:w="1156" w:type="dxa"/>
            <w:tcBorders/>
            <w:shd w:fill="E7E7E2" w:val="clear"/>
            <w:vAlign w:val="center"/>
          </w:tcPr>
          <w:p>
            <w:pPr>
              <w:pStyle w:val="TableContents"/>
              <w:bidi w:val="0"/>
              <w:spacing w:before="0" w:after="283"/>
              <w:jc w:val="right"/>
              <w:rPr/>
            </w:pPr>
            <w:r>
              <w:rPr/>
              <w:t xml:space="preserve">$ 0.73 </w:t>
            </w:r>
          </w:p>
        </w:tc>
        <w:tc>
          <w:tcPr>
            <w:tcW w:w="1666" w:type="dxa"/>
            <w:tcBorders/>
            <w:shd w:fill="E7E7E2" w:val="clear"/>
            <w:vAlign w:val="center"/>
          </w:tcPr>
          <w:p>
            <w:pPr>
              <w:pStyle w:val="TableContents"/>
              <w:bidi w:val="0"/>
              <w:spacing w:before="0" w:after="283"/>
              <w:jc w:val="right"/>
              <w:rPr/>
            </w:pPr>
            <w:r>
              <w:rPr/>
              <w:t xml:space="preserve">$ 40,894,809.51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$ 5,647.57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7" w:name="MaxAggtOfferingPrice"/>
            <w:bookmarkEnd w:id="27"/>
            <w:r>
              <w:rPr/>
              <w:t xml:space="preserve">$ 40,894,809.51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$ 5,647.57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$ 5,647.57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 amount of shares registered represents an aggregate of 56,020,287 shares of CalciMedica, Inc. common stock, par value $0.0001 per share ("common stock"), which consists of (i) 14,938,370 shares of common stock, (ii) 3,735,059 shares of common stock issuable upon the exercise of pre-funded warrants (the "Pre-Funded Warrants") to purchase shares of common stock, (iii) 18,673,429 shares of common stock issuable upon the exercise of Series A common warrants to purchase shares of common stock (or Pre-Funded Warrants in lieu thereof and, in such case, shares of common stock issuable upon exercise of such Pre-Funded Warrants); and (iv) 18,673,429 shares of common stock issuable upon the exercise of Series B common warrants to purchase shares of common stock (or Pre-Funded Warrants in lieu thereof and, in such case, shares of common stock issuable upon exercise of such Pre-Funded Warrants), all of which were or will be issued by the Registrant in a private placement transaction to the selling stockholders named in the prospectus that forms a part of this registration statement (this "Registration Statement"). Pursuant to Rule 416 under the Securities Act of 1933, as amended (the "Securities Act"), this Registration Statement also covers any additional number of shares of common stock as may be issuable as a result of stock splits, stock dividends, or other distribution, recapitalization or similar events with respect to the shares of common stock being registered pursuant to this Registration Statement. The proposed maximum offering price per share has been estimated in accordance with Rule 457(c) under the Securities Act solely for purposes of calculating the registration fee. The proposed maximum offering price per unit and the maximum aggregate offering price are based on the average of the high and low sale price of common stock, as reported on the Nasdaq Capital Market on July 20, 2026, which date is within five business days prior to filing this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34133/000119312526088147/ck0001534133-20251231.htm" TargetMode="External"/><Relationship Id="rId4" Type="http://schemas.openxmlformats.org/officeDocument/2006/relationships/hyperlink" Target="http://www.sec.gov/Archives/edgar/data/../../../ix?doc=/Archives/edgar/data/0001534133/000119312526197104/ck0001534133-20251231.htm" TargetMode="External"/><Relationship Id="rId5" Type="http://schemas.openxmlformats.org/officeDocument/2006/relationships/hyperlink" Target="http://www.sec.gov/Archives/edgar/data/../../../ix?doc=/Archives/edgar/data/0001534133/000119312526219426/ck0001534133-20260331.htm" TargetMode="External"/><Relationship Id="rId6" Type="http://schemas.openxmlformats.org/officeDocument/2006/relationships/hyperlink" Target="http://www.sec.gov/Archives/edgar/data/../../../ix?doc=/Archives/edgar/data/0001534133/000119312526025649/d55769d8k.htm" TargetMode="External"/><Relationship Id="rId7" Type="http://schemas.openxmlformats.org/officeDocument/2006/relationships/hyperlink" Target="http://www.sec.gov/Archives/edgar/data/../../../ix?doc=/Archives/edgar/data/0001534133/000119312526027462/d40225d8k.htm" TargetMode="External"/><Relationship Id="rId8" Type="http://schemas.openxmlformats.org/officeDocument/2006/relationships/hyperlink" Target="http://www.sec.gov/Archives/edgar/data/../../../ix?doc=/Archives/edgar/data/0001534133/000119312526114096/d101411d8k.htm" TargetMode="External"/><Relationship Id="rId9" Type="http://schemas.openxmlformats.org/officeDocument/2006/relationships/hyperlink" Target="http://www.sec.gov/Archives/edgar/data/../../../ix?doc=/Archives/edgar/data/0001534133/000119312526280223/d40651d8k.htm" TargetMode="External"/><Relationship Id="rId10" Type="http://schemas.openxmlformats.org/officeDocument/2006/relationships/hyperlink" Target="http://www.sec.gov/Archives/edgar/data/../../../ix?doc=/Archives/edgar/data/0001534133/000119312526281246/d142943d8k.htm" TargetMode="External"/><Relationship Id="rId11" Type="http://schemas.openxmlformats.org/officeDocument/2006/relationships/hyperlink" Target="http://www.sec.gov/Archives/edgar/data/../../../ix?doc=/Archives/edgar/data/0001534133/000119312526297475/ck0001534133-20260702.htm" TargetMode="External"/><Relationship Id="rId12" Type="http://schemas.openxmlformats.org/officeDocument/2006/relationships/hyperlink" Target="http://www.sec.gov/Archives/edgar/data/1534133/000095017024038064/calc-ex4_2.htm" TargetMode="External"/><Relationship Id="rId13" Type="http://schemas.openxmlformats.org/officeDocument/2006/relationships/hyperlink" Target="http://www.sec.gov/Archives/edgar/data/1534133/000119312523076714/d485425dex31.htm" TargetMode="External"/><Relationship Id="rId14" Type="http://schemas.openxmlformats.org/officeDocument/2006/relationships/hyperlink" Target="http://www.sec.gov/Archives/edgar/data/1534133/000119312523076714/d485425dex32.htm" TargetMode="External"/><Relationship Id="rId15" Type="http://schemas.openxmlformats.org/officeDocument/2006/relationships/hyperlink" Target="http://www.sec.gov/Archives/edgar/data/1534133/000156459020053539/gray-ex32_105.htm" TargetMode="External"/><Relationship Id="rId16" Type="http://schemas.openxmlformats.org/officeDocument/2006/relationships/hyperlink" Target="http://www.sec.gov/Archives/edgar/data/1534133/000119312520249556/d796801dex41.htm" TargetMode="External"/><Relationship Id="rId17" Type="http://schemas.openxmlformats.org/officeDocument/2006/relationships/hyperlink" Target="http://www.sec.gov/Archives/edgar/data/1534133/000119312523076714/d485425dex41.htm" TargetMode="External"/><Relationship Id="rId18" Type="http://schemas.openxmlformats.org/officeDocument/2006/relationships/hyperlink" Target="http://www.sec.gov/Archives/edgar/data/1534133/000119312524011738/d738337dex102.htm" TargetMode="External"/><Relationship Id="rId19" Type="http://schemas.openxmlformats.org/officeDocument/2006/relationships/hyperlink" Target="http://www.sec.gov/Archives/edgar/data/1534133/000119312520240042/d796801dex43.htm" TargetMode="External"/><Relationship Id="rId20" Type="http://schemas.openxmlformats.org/officeDocument/2006/relationships/hyperlink" Target="http://www.sec.gov/Archives/edgar/data/1534133/000119312523076714/d485425dex42.htm" TargetMode="External"/><Relationship Id="rId21" Type="http://schemas.openxmlformats.org/officeDocument/2006/relationships/hyperlink" Target="http://www.sec.gov/Archives/edgar/data/1534133/000119312523076714/d485425dex43.htm" TargetMode="External"/><Relationship Id="rId22" Type="http://schemas.openxmlformats.org/officeDocument/2006/relationships/hyperlink" Target="http://www.sec.gov/Archives/edgar/data/1534133/000119312523076714/d485425dex44.htm" TargetMode="External"/><Relationship Id="rId23" Type="http://schemas.openxmlformats.org/officeDocument/2006/relationships/hyperlink" Target="http://www.sec.gov/Archives/edgar/data/1534133/000119312523076714/d485425dex45.htm" TargetMode="External"/><Relationship Id="rId24" Type="http://schemas.openxmlformats.org/officeDocument/2006/relationships/hyperlink" Target="http://www.sec.gov/Archives/edgar/data/1534133/000119312523076714/d485425dex46.htm" TargetMode="External"/><Relationship Id="rId25" Type="http://schemas.openxmlformats.org/officeDocument/2006/relationships/hyperlink" Target="http://www.sec.gov/Archives/edgar/data/1534133/000119312523090982/d482049dex49.htm" TargetMode="External"/><Relationship Id="rId26" Type="http://schemas.openxmlformats.org/officeDocument/2006/relationships/hyperlink" Target="http://www.sec.gov/Archives/edgar/data/1534133/000095017024095490/ck0001534133-ex4_16.htm" TargetMode="External"/><Relationship Id="rId27" Type="http://schemas.openxmlformats.org/officeDocument/2006/relationships/hyperlink" Target="http://www.sec.gov/Archives/edgar/data/1534133/000119312525046225/d940326dex41.htm" TargetMode="External"/><Relationship Id="rId28" Type="http://schemas.openxmlformats.org/officeDocument/2006/relationships/hyperlink" Target="http://www.sec.gov/Archives/edgar/data/0001534133/000119312526280223/d40651dex42.htm" TargetMode="External"/><Relationship Id="rId29" Type="http://schemas.openxmlformats.org/officeDocument/2006/relationships/hyperlink" Target="http://www.sec.gov/Archives/edgar/data/0001534133/000119312526280223/d40651dex43.htm" TargetMode="External"/><Relationship Id="rId30" Type="http://schemas.openxmlformats.org/officeDocument/2006/relationships/hyperlink" Target="http://www.sec.gov/Archives/edgar/data/0001534133/000119312526281246/d142943dex101.htm" TargetMode="External"/><Relationship Id="rId31" Type="http://schemas.openxmlformats.org/officeDocument/2006/relationships/hyperlink" Target="http://www.sec.gov/Archives/edgar/data/1534133/000119312524013513/d738337dex42.htm" TargetMode="External"/><Relationship Id="rId32" Type="http://schemas.openxmlformats.org/officeDocument/2006/relationships/hyperlink" Target="http://www.sec.gov/Archives/edgar/data/1534133/000119312524013513/d738337dex43.htm" TargetMode="External"/><Relationship Id="rId33" Type="http://schemas.openxmlformats.org/officeDocument/2006/relationships/hyperlink" Target="http://www.sec.gov/Archives/edgar/data/1534133/000119312524013513/d738337dex43.htm" TargetMode="External"/><Relationship Id="rId34" Type="http://schemas.openxmlformats.org/officeDocument/2006/relationships/hyperlink" Target="http://www.sec.gov/Archives/edgar/data/0001534133/000119312526280223/d40651dex41.htm" TargetMode="External"/><Relationship Id="rId35" Type="http://schemas.openxmlformats.org/officeDocument/2006/relationships/hyperlink" Target="http://www.sec.gov/Archives/edgar/data/0001534133/000119312526281246/d142943dex41.htm" TargetMode="External"/><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38689</Words>
  <Characters>202532</Characters>
  <CharactersWithSpaces>241870</CharactersWithSpaces>
  <Paragraphs>1720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