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CALCIMEDICA,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Avenue Venture Opportunities Fund 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4,641,163.00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Aggregate amount beneficially owned includes 3,000,000 shares of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issuable upon conversion of a loan to Issuer in the principal amount of $3 million and 1,641,163 shares of common stock issuable upon exercise of warrants outstanding. Such loan is convertible at any time at lender's option at a per share conversion price of $1.00. As more fully described in Item 4, ownership is limited to the 4.99% blocker, and the percentage set forth in row</w:t>
      </w:r>
    </w:p>
    <w:p>
      <w:pPr>
        <w:spacing w:after="0" w:line="2" w:lineRule="exact"/>
        <w:rPr>
          <w:sz w:val="20"/>
          <w:szCs w:val="20"/>
          <w:color w:val="auto"/>
        </w:rPr>
      </w:pPr>
    </w:p>
    <w:p>
      <w:pPr>
        <w:ind w:firstLine="8"/>
        <w:spacing w:after="0" w:line="233" w:lineRule="auto"/>
        <w:tabs>
          <w:tab w:leader="none" w:pos="4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gives effect to such blocker. The securities reported in row (9) show the number of shares of common stock that would be issuable upon full conversion of the loan and do not give effect to such blocker. Therefore, the actual number of shares of common stock beneficially owned by such Reporting Person, after giving effect to such blocker, is less than the number of securities reported in row (9). (2) Percent of class is based on 30,736,401 fully diluted shares of Common Stock of CalciMedica, Inc. (the "Issuer") outstanding as of June 24,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Avenue Capital Management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4,641,163.00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4,641,163.00</w:t>
            </w:r>
          </w:p>
        </w:tc>
        <w:tc>
          <w:tcPr>
            <w:tcW w:w="0" w:type="dxa"/>
            <w:vAlign w:val="bottom"/>
          </w:tcPr>
          <w:p>
            <w:pPr>
              <w:spacing w:after="0"/>
              <w:rPr>
                <w:sz w:val="1"/>
                <w:szCs w:val="1"/>
                <w:color w:val="auto"/>
              </w:rPr>
            </w:pPr>
          </w:p>
        </w:tc>
      </w:tr>
    </w:tbl>
    <w:p>
      <w:pPr>
        <w:sectPr>
          <w:pgSz w:w="11900" w:h="16838" w:orient="portrait"/>
          <w:cols w:equalWidth="0" w:num="1">
            <w:col w:w="11120"/>
          </w:cols>
          <w:pgMar w:left="320" w:top="111" w:right="459" w:bottom="0" w:gutter="0" w:footer="0" w:header="0"/>
          <w:type w:val="continuous"/>
        </w:sectPr>
      </w:pPr>
    </w:p>
    <w:bookmarkStart w:id="2" w:name="page3"/>
    <w:bookmarkEnd w:id="2"/>
    <w:p>
      <w:pPr>
        <w:ind w:left="1440" w:right="8080" w:hanging="231"/>
        <w:spacing w:after="0" w:line="259" w:lineRule="auto"/>
        <w:tabs>
          <w:tab w:leader="none" w:pos="14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4,641,163.00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Avenue Capital Management II, L.P. is a registered investment adviser and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manager ("Manager") of Avenue Venture Opportunities Fund II, L.P. (the "Fund"). The general partner of the Fund has delegated all management authority to Manager and therefore, Manager has sole voting and dispositive power over all securities of Issuer held by the Fund but disclaims beneficial ownership thereof except to the extent of its pecuniary interest, if any, therein. As more fully described in Item 4, ownership is limited to the 4.99% blocker, and the percentage set forth in row (11) gives effect to such blocker. The securities reported in rows (5), (7) and (9) show the number of shares of common stock that would be issuable upon full conversion of the loan and do not give effect to such blocker. Therefore, the actual number of shares of common stock beneficially owned by such Reporting Person, after giving effect to such blocker, is less than the number of securities reported in rows (5), (7) and (9). (2) Percent of class is based on 30,736,401 shares of Common Stock of Issuer outstanding as of June 24,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Avenue Venture Opportunities Partners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4,641,163.00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160"/>
          </w:cols>
          <w:pgMar w:left="320" w:top="111" w:right="419" w:bottom="0" w:gutter="0" w:footer="0" w:header="0"/>
        </w:sectPr>
      </w:pPr>
    </w:p>
    <w:bookmarkStart w:id="3" w:name="page4"/>
    <w:bookmarkEnd w:id="3"/>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Avenue Venture Opportunities Partners II, LLC ("AVOPII") is the general partner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Fund. AVOPII has delegated voting and dispositive power over securities held by the Fund to Manager and disclaims beneficial ownership of securities held by the Fund, except to the extent of its pecuniary interest, if any, therein. As more fully described in Item 4, ownership is limited to the 4.99% blocker, and the percentage set forth in row (11) gives effect to such blocker. The securities reported in row (9) show the number of shares of common stock that would be issuable upon full conversion of the loan and do not give effect to such blocker. Therefore, the actual number of shares of common stock beneficially owned by such Reporting Person, after giving effect to such blocker, is less than the number of securities reported in row (9). (2) Percent of class is based on 30,736,401 shares of Issuer's common stock outstanding as of June 24,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GL Venture Opportunities Partners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63" w:orient="portrait"/>
          <w:cols w:equalWidth="0" w:num="1">
            <w:col w:w="11200"/>
          </w:cols>
          <w:pgMar w:left="320" w:top="6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4,641,163.00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63" w:orient="portrait"/>
          <w:cols w:equalWidth="0" w:num="2">
            <w:col w:w="1100" w:space="60"/>
            <w:col w:w="10040"/>
          </w:cols>
          <w:pgMar w:left="320" w:top="612" w:right="379" w:bottom="0" w:gutter="0" w:footer="0" w:header="0"/>
          <w:type w:val="continuous"/>
        </w:sectPr>
      </w:pPr>
    </w:p>
    <w:p>
      <w:pPr>
        <w:spacing w:after="0" w:line="7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GL Venture Opportunities Partners II, LLC ("GLVOPII") is the managing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member of AVOPII, the general partner of the Fund. GLVOPII has no voting or dispositive power over securities held by the</w:t>
      </w:r>
    </w:p>
    <w:p>
      <w:pPr>
        <w:sectPr>
          <w:pgSz w:w="11900" w:h="16963" w:orient="portrait"/>
          <w:cols w:equalWidth="0" w:num="1">
            <w:col w:w="11200"/>
          </w:cols>
          <w:pgMar w:left="320" w:top="612" w:right="379" w:bottom="0" w:gutter="0" w:footer="0" w:header="0"/>
          <w:type w:val="continuous"/>
        </w:sectPr>
      </w:pPr>
    </w:p>
    <w:bookmarkStart w:id="4" w:name="page5"/>
    <w:bookmarkEnd w:id="4"/>
    <w:p>
      <w:pPr>
        <w:spacing w:after="0" w:line="235" w:lineRule="auto"/>
        <w:rPr>
          <w:sz w:val="20"/>
          <w:szCs w:val="20"/>
          <w:color w:val="auto"/>
        </w:rPr>
      </w:pPr>
      <w:r>
        <w:rPr>
          <w:rFonts w:ascii="Times New Roman" w:cs="Times New Roman" w:eastAsia="Times New Roman" w:hAnsi="Times New Roman"/>
          <w:sz w:val="22"/>
          <w:szCs w:val="22"/>
          <w:color w:val="auto"/>
        </w:rPr>
        <w:t>Fund and disclaims beneficial ownership of securities held by the Fund, except to the extent of its pecuniary interest, if any, therein. As more fully described in Item 4, ownership is limited to the 4.99% blocker, and the percentage set forth in row (11) gives effect to such blocker. The securities reported in row (9) show the number of shares of common stock that would be issuable upon full conversion of the loan and do not give effect to such blocker. Therefore, the actual number of shares of common stock beneficially owned by such Reporting Person, after giving effect to such blocker, is less than the number of securities reported in row (9). (2) Percent of class is based on 30,736,401 shares of Issuer's common stock outstanding as of June 24,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Marc Lasry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2"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4,641,163.00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112" w:right="439" w:bottom="0" w:gutter="0" w:footer="0" w:header="0"/>
          <w:type w:val="continuous"/>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Marc Lasry is the beneficial owner of GLVOPII and therefore, is the ultimate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 of the Fund. Mr. Lasry does not have voting or dispositive power over securities held by the Fund. As more fully described in Item 4, ownership is limited to the 4.99% blocker, and the percentage set forth in row (11) gives effect to such blocker. The securities reported in row (9) show the number of shares of common stock that would be issuable upon full conversion of the loan and do not give effect to such blocker. Therefore, the actual number of shares of common stock beneficially owned by such Reporting Person, after giving effect to such blocker, is less than the number of securities reported in row (9). (2) Percent of class is based on 30,736,401 shares of Issuer's common stock outstanding as of June 24, 2026.</w:t>
      </w:r>
    </w:p>
    <w:p>
      <w:pPr>
        <w:sectPr>
          <w:pgSz w:w="11900" w:h="16838" w:orient="portrait"/>
          <w:cols w:equalWidth="0" w:num="1">
            <w:col w:w="11140"/>
          </w:cols>
          <w:pgMar w:left="320" w:top="112"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40"/>
          </w:cols>
          <w:pgMar w:left="320" w:top="112" w:right="43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CALCIMEDICA,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 Coast Boulevard South, Suite 307, La Jolla, California 92037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Avenue Venture Opportunities Fund II, L.P., Avenue Capital Management II, L.P., Avenue Venture Opportunities Partners II, LLC, GL Venture Opportunities Partners II, LLC, Marc Lasry</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Avenue Capital Group 11 West 42nd Street, 9th Floor, New York, New York 10036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200"/>
          </w:cols>
          <w:pgMar w:left="360" w:top="111" w:right="419" w:bottom="0" w:gutter="0" w:footer="0" w:header="0"/>
        </w:sectPr>
      </w:pPr>
    </w:p>
    <w:p>
      <w:pPr>
        <w:spacing w:after="0" w:line="33" w:lineRule="exact"/>
        <w:rPr>
          <w:sz w:val="20"/>
          <w:szCs w:val="20"/>
          <w:color w:val="auto"/>
        </w:rPr>
      </w:pPr>
    </w:p>
    <w:p>
      <w:pPr>
        <w:ind w:left="920" w:right="440" w:hanging="912"/>
        <w:spacing w:after="0" w:line="244"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Avenue Venture Opportunities Fund II, L.P., Avenue Capital Management II, L.P., Avenue Venture Opportunities Partners II, LLC, and GL Venture Opportunities Partners II, LLC are organized under the laws of the State of Delaware. Marc Lasry is a U.S. citizen.</w:t>
      </w:r>
    </w:p>
    <w:p>
      <w:pPr>
        <w:sectPr>
          <w:pgSz w:w="11900" w:h="16838" w:orient="portrait"/>
          <w:cols w:equalWidth="0" w:num="1">
            <w:col w:w="11120"/>
          </w:cols>
          <w:pgMar w:left="360" w:top="111" w:right="419" w:bottom="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Amendment No. 3 (this "Amendment") amends the Schedule 13G filed with the Securities and Exchange Commission (the "SEC") on May 28, 2025, as amended by Amendment No. 1 filed with the SEC on September 2, 2025 and Amendment No. 2 filed with the SEC on September 9, 2025 (collectively, the "Schedule 13G"), with respect to the common stock, par value $0.0001 per share (the "Common Stock") of Issuer. This Amendment is being filed solely to amend the Reporting Persons' beneficial ownership of the Common Stock. On June 23, 2026 (the "Effective Date"), Issuer entered into the First Amendment to Loan Documents (the "First Amendment") to amend that certain Loan and Security Agreement and that certain Supplement to the Loan and Security Agreement, each dated as of February 28, 2025 (together, the "Loan Agreement") with Avenue Venture Opportunities Fund II, L.P. as "Lender" and Avenue Capital Management II, L.P., as administrative agent and collateral agent (collectively, the "Lenders"). Pursuant to the Loan Agreement, an aggregate of up to $32 million in capital growth loans (the "Loan"), was to be funded in three tranches, as described in the Loan Agreement. Tranche I of the Loans funded on February 28, 2025. Tranche II was made available to Issuer between September 1, 2025 and March 31, 2026. Tranche III was made available to Issuer between October 1, 2025 and March 31, 2026. Funding of each of Tranche II and Tranche III was subject to, among other things, the achievement of certain milestones. The aggregate principal amount outstanding under the First Amendment is $10,000,000. The First Amendment includes a 4.99% "blocker" provision designed to prevent Reporting Persons from being beneficial owners of more than 4.99% of the Issuer's common stock. Pursuant to the terms of the First Amendment, the Reporting Persons cannot convert any portion of the Loan to the extent the Reporting Persons would beneficially own, after any such conversion, more than 4.99% of the</w:t>
      </w:r>
    </w:p>
    <w:p>
      <w:pPr>
        <w:sectPr>
          <w:pgSz w:w="11900" w:h="16838" w:orient="portrait"/>
          <w:cols w:equalWidth="0" w:num="1">
            <w:col w:w="11120"/>
          </w:cols>
          <w:pgMar w:left="360" w:top="111" w:right="419" w:bottom="0" w:gutter="0" w:footer="0" w:header="0"/>
          <w:type w:val="continuous"/>
        </w:sectPr>
      </w:pPr>
    </w:p>
    <w:bookmarkStart w:id="6" w:name="page7"/>
    <w:bookmarkEnd w:id="6"/>
    <w:p>
      <w:pPr>
        <w:ind w:left="920" w:right="120"/>
        <w:spacing w:after="0" w:line="235" w:lineRule="auto"/>
        <w:rPr>
          <w:sz w:val="20"/>
          <w:szCs w:val="20"/>
          <w:color w:val="auto"/>
        </w:rPr>
      </w:pPr>
      <w:r>
        <w:rPr>
          <w:rFonts w:ascii="Times New Roman" w:cs="Times New Roman" w:eastAsia="Times New Roman" w:hAnsi="Times New Roman"/>
          <w:sz w:val="22"/>
          <w:szCs w:val="22"/>
          <w:color w:val="auto"/>
        </w:rPr>
        <w:t>outstanding shares of Issuer's common stock (the "Blocker"). Consequently, as of the date reported herein, the Reporting Persons are not able to fully convert their Loan due to the Blocker. The Blocker of 4.99% may be changed to up to 19.99% at the Reporting Persons' election upon at least 61 days' notice to the Issuer. Pursuant to the First Amendment, Lenders have the right, in their discretion, at any time and from time to time, while the Loan is outstanding, to convert up to $3 million of the outstanding principal amount of the Loan into Issuer's common stock at a price per share equal to $1.00, or in lieu of Issuer's common stock in the event conversion would exceed the 4.99% Blocker, pre-funded warrants to purchase shares of Issuer's common stock which would include a 4.99% Blocker.</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620" w:hanging="912"/>
        <w:spacing w:after="0" w:line="244" w:lineRule="auto"/>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this Item 4(b) is set forth in Row (11) of the cover page for each Reporting Person hereto, is incorporated herein by reference for each such Reporting Person, and is qualified by the preceding description of ownership in this Item 4.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 is set forth in Row (5)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 is set forth in Row (6)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4(c)(iii) is set forth in Row (7)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The information required by this Item 4(c)(iv) is set forth in Row (8) of the cover page for each Reporting Person hereto and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Avenue Venture Opportunities Fund II, L.P.</w:t>
      </w:r>
    </w:p>
    <w:p>
      <w:pPr>
        <w:sectPr>
          <w:pgSz w:w="11900" w:h="16838" w:orient="portrait"/>
          <w:cols w:equalWidth="0" w:num="1">
            <w:col w:w="11140"/>
          </w:cols>
          <w:pgMar w:left="360" w:top="111" w:right="399" w:bottom="0" w:gutter="0" w:footer="0" w:header="0"/>
          <w:type w:val="continuous"/>
        </w:sectPr>
      </w:pP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200" w:lineRule="exact"/>
        <w:rPr>
          <w:sz w:val="20"/>
          <w:szCs w:val="20"/>
          <w:color w:val="auto"/>
        </w:rPr>
      </w:pP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Andrew Schinder</w:t>
      </w:r>
    </w:p>
    <w:p>
      <w:pPr>
        <w:spacing w:after="0" w:line="4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Andrew Schinder POA for Marc Lasry, Member GL Venture Opportunities Partners II LLC, Man. Mbr Avenue Venture Opportunities Partners II LLC, Gen. Ptnr.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06/25/2026</w:t>
      </w:r>
    </w:p>
    <w:p>
      <w:pPr>
        <w:sectPr>
          <w:pgSz w:w="11900" w:h="16838" w:orient="portrait"/>
          <w:cols w:equalWidth="0" w:num="2">
            <w:col w:w="6680" w:space="60"/>
            <w:col w:w="4400"/>
          </w:cols>
          <w:pgMar w:left="360" w:top="111" w:right="399" w:bottom="0" w:gutter="0" w:footer="0" w:header="0"/>
          <w:type w:val="continuous"/>
        </w:sectPr>
      </w:pPr>
    </w:p>
    <w:bookmarkStart w:id="7" w:name="page8"/>
    <w:bookmarkEnd w:id="7"/>
    <w:p>
      <w:pPr>
        <w:ind w:left="3340"/>
        <w:spacing w:after="0"/>
        <w:rPr>
          <w:sz w:val="20"/>
          <w:szCs w:val="20"/>
          <w:color w:val="auto"/>
        </w:rPr>
      </w:pPr>
      <w:r>
        <w:rPr>
          <w:rFonts w:ascii="Times New Roman" w:cs="Times New Roman" w:eastAsia="Times New Roman" w:hAnsi="Times New Roman"/>
          <w:sz w:val="22"/>
          <w:szCs w:val="22"/>
          <w:color w:val="auto"/>
        </w:rPr>
        <w:t>Avenue Capital Management II, L.P.</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spacing w:after="0" w:line="4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2"/>
          <w:szCs w:val="22"/>
          <w:color w:val="auto"/>
        </w:rPr>
        <w:t>Andrew Schinder POA for Marc Lasry, Member</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of Avenue Capital Management II GenPar, LLC,</w:t>
      </w: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Avenue Venture Opportunities Partners 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Andrew Schinder POA for Marc Lasry, Member</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 GL Venture Opportunities Partners II, LLC,</w:t>
      </w: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GL Venture Opportunities Partners 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Andrew Schinder Attorney-in-Fact for Marc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Lasry,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Marc Lasry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Schinder</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Andrew</w:t>
      </w:r>
      <w:r>
        <w:rPr>
          <w:rFonts w:ascii="Times New Roman" w:cs="Times New Roman" w:eastAsia="Times New Roman" w:hAnsi="Times New Roman"/>
          <w:sz w:val="37"/>
          <w:szCs w:val="37"/>
          <w:color w:val="auto"/>
          <w:vertAlign w:val="subscript"/>
        </w:rPr>
        <w:t>Lasry</w:t>
      </w:r>
      <w:r>
        <w:rPr>
          <w:rFonts w:ascii="Times New Roman" w:cs="Times New Roman" w:eastAsia="Times New Roman" w:hAnsi="Times New Roman"/>
          <w:sz w:val="19"/>
          <w:szCs w:val="19"/>
          <w:color w:val="auto"/>
        </w:rPr>
        <w:t xml:space="preserve"> Schinder Attorney-in-Fact for Marc</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22"/>
          <w:szCs w:val="22"/>
          <w:color w:val="auto"/>
        </w:rPr>
        <w:t>Exhibit 99.1 Power of Attorney dated January 28, 2019 (filed as Exhibit 99.1 to Schedule 13G on October 3, 2024). https://www.sec.gov/Archives/edgar/data/1792691/000182912624006629/beyondair_ex99-1.htm Exhibit 99.2 Joint Filing Agreement (filed as Exhibit 99.2 to Schedule 13G on May 28, 2025). https://www.sec.gov/Archives/edgar/data/1534133/000182912625004015/calcimedica_ex99-2.htm</w:t>
      </w:r>
    </w:p>
    <w:sectPr>
      <w:pgSz w:w="11900" w:h="16838" w:orient="portrait"/>
      <w:cols w:equalWidth="0" w:num="1">
        <w:col w:w="10960"/>
      </w:cols>
      <w:pgMar w:left="36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5"/>
      <w:numFmt w:val="bullet"/>
      <w:start w:val="1"/>
    </w:lvl>
  </w:abstractNum>
  <w:abstractNum w:abstractNumId="3">
    <w:nsid w:val="12200854"/>
    <w:multiLevelType w:val="hybridMultilevel"/>
    <w:lvl w:ilvl="0">
      <w:lvlJc w:val="left"/>
      <w:lvlText w:val="(%1)"/>
      <w:numFmt w:val="decimal"/>
      <w:start w:val="1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3"/>
      <w:numFmt w:val="bullet"/>
      <w:start w:val="1"/>
    </w:lvl>
  </w:abstractNum>
  <w:abstractNum w:abstractNumId="6">
    <w:nsid w:val="1F16E9E8"/>
    <w:multiLevelType w:val="hybridMultilevel"/>
    <w:lvl w:ilvl="0">
      <w:lvlJc w:val="left"/>
      <w:lvlText w:val="8"/>
      <w:numFmt w:val="bullet"/>
      <w:start w:val="1"/>
    </w:lvl>
  </w:abstractNum>
  <w:abstractNum w:abstractNumId="7">
    <w:nsid w:val="1190CDE7"/>
    <w:multiLevelType w:val="hybridMultilevel"/>
    <w:lvl w:ilvl="0">
      <w:lvlJc w:val="left"/>
      <w:lvlText w:val="2"/>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2"/>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1)"/>
      <w:numFmt w:val="lowerLetter"/>
      <w:start w:val="3"/>
    </w:lvl>
  </w:abstractNum>
  <w:abstractNum w:abstractNumId="12">
    <w:nsid w:val="DED7263"/>
    <w:multiLevelType w:val="hybridMultilevel"/>
    <w:lvl w:ilvl="0">
      <w:lvlJc w:val="left"/>
      <w:lvlText w:val="(%1)"/>
      <w:numFmt w:val="lowerLetter"/>
      <w:start w:val="1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2026-06-25T17:10:54Z</dcterms:created>
  <dcterms:modified xsi:type="dcterms:W3CDTF">2026-06-25T17:10:54Z</dcterms:modified>
</cp:coreProperties>
</file>