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ck0001534133-20260630.htm"/>
      <w:bookmarkStart w:id="1" w:name="ksck000153413320260630"/>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For the quarterly period ended June 30, 2026</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OR</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Commission File Number 001-39538</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CalciMedica,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4161" w:type="dxa"/>
        <w:jc w:val="left"/>
        <w:tblInd w:w="0" w:type="dxa"/>
        <w:tblLayout w:type="fixed"/>
        <w:tblCellMar>
          <w:top w:w="28" w:type="dxa"/>
          <w:left w:w="28" w:type="dxa"/>
          <w:bottom w:w="28" w:type="dxa"/>
          <w:right w:w="28" w:type="dxa"/>
        </w:tblCellMar>
      </w:tblPr>
      <w:tblGrid>
        <w:gridCol w:w="2566"/>
        <w:gridCol w:w="109"/>
        <w:gridCol w:w="1486"/>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45-2120079</w:t>
            </w:r>
          </w:p>
        </w:tc>
      </w:tr>
      <w:tr>
        <w:trPr/>
        <w:tc>
          <w:tcPr>
            <w:tcW w:w="25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505 Coast Boulevard South, Suite 300-9</w:t>
      </w:r>
    </w:p>
    <w:p>
      <w:pPr>
        <w:pStyle w:val="TextBody"/>
        <w:bidi w:val="0"/>
        <w:jc w:val="center"/>
        <w:rPr>
          <w:rFonts w:ascii="Times New Roman" w:hAnsi="Times New Roman"/>
          <w:sz w:val="20"/>
        </w:rPr>
      </w:pPr>
      <w:r>
        <w:rPr>
          <w:rFonts w:ascii="Times New Roman" w:hAnsi="Times New Roman"/>
          <w:b/>
          <w:color w:val="000000"/>
          <w:sz w:val="20"/>
        </w:rPr>
        <w:t>La Jolla, CA</w:t>
      </w:r>
      <w:r>
        <w:rPr>
          <w:rFonts w:ascii="Times New Roman" w:hAnsi="Times New Roman"/>
          <w:color w:val="000000"/>
          <w:sz w:val="20"/>
        </w:rPr>
        <w:t xml:space="preserve"> </w:t>
      </w:r>
      <w:r>
        <w:rPr>
          <w:rFonts w:ascii="Times New Roman" w:hAnsi="Times New Roman"/>
          <w:b/>
          <w:color w:val="000000"/>
          <w:sz w:val="20"/>
        </w:rPr>
        <w:t>92037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952-5500</w:t>
      </w:r>
    </w:p>
    <w:p>
      <w:pPr>
        <w:pStyle w:val="TextBody"/>
        <w:pBdr>
          <w:bottom w:val="single" w:sz="8" w:space="1" w:color="000000"/>
        </w:pBdr>
        <w:bidi w:val="0"/>
        <w:jc w:val="center"/>
        <w:rPr/>
      </w:pPr>
      <w:r>
        <w:rPr/>
        <w:t> </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Common Stock, par value $0.0001 per share</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CALC</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color w:val="000000"/>
                <w:sz w:val="19"/>
              </w:rPr>
              <w:t>The Nasdaq</w:t>
            </w:r>
            <w:r>
              <w:rPr>
                <w:rFonts w:ascii="Times New Roman" w:hAnsi="Times New Roman"/>
                <w:color w:val="000000"/>
                <w:sz w:val="20"/>
              </w:rPr>
              <w:t> </w:t>
            </w:r>
            <w:r>
              <w:rPr>
                <w:rFonts w:ascii="Times New Roman" w:hAnsi="Times New Roman"/>
                <w:color w:val="000000"/>
                <w:sz w:val="19"/>
              </w:rPr>
              <w:t>Capital Market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9"/>
        </w:rPr>
        <w:t>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9"/>
        </w:rPr>
        <w:t>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79" w:type="dxa"/>
        <w:jc w:val="left"/>
        <w:tblInd w:w="0" w:type="dxa"/>
        <w:tblLayout w:type="fixed"/>
        <w:tblCellMar>
          <w:top w:w="28" w:type="dxa"/>
          <w:left w:w="28" w:type="dxa"/>
          <w:bottom w:w="28" w:type="dxa"/>
          <w:right w:w="28" w:type="dxa"/>
        </w:tblCellMar>
      </w:tblPr>
      <w:tblGrid>
        <w:gridCol w:w="1921"/>
        <w:gridCol w:w="109"/>
        <w:gridCol w:w="316"/>
        <w:gridCol w:w="146"/>
        <w:gridCol w:w="146"/>
        <w:gridCol w:w="2311"/>
        <w:gridCol w:w="109"/>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9"/>
        </w:rPr>
        <w:t>The number of shares of the Registrant’s common stock outstanding</w:t>
      </w:r>
      <w:r>
        <w:rPr>
          <w:rFonts w:ascii="Times New Roman" w:hAnsi="Times New Roman"/>
          <w:color w:val="000000"/>
          <w:sz w:val="20"/>
        </w:rPr>
        <w:t xml:space="preserve"> </w:t>
      </w:r>
      <w:r>
        <w:rPr>
          <w:rFonts w:ascii="Times New Roman" w:hAnsi="Times New Roman"/>
          <w:color w:val="000000"/>
          <w:sz w:val="19"/>
        </w:rPr>
        <w:t>as of August 5, 2026 was 34,141,460.</w:t>
      </w:r>
    </w:p>
    <w:p>
      <w:pPr>
        <w:pStyle w:val="TextBody"/>
        <w:pBdr>
          <w:bottom w:val="double" w:sz="4" w:space="1" w:color="000000"/>
        </w:pBdr>
        <w:bidi w:val="0"/>
        <w:jc w:val="both"/>
        <w:rPr/>
      </w:pPr>
      <w:r>
        <w:rPr/>
        <w:t> </w:t>
      </w:r>
    </w:p>
    <w:p>
      <w:pPr>
        <w:pStyle w:val="TextBody"/>
        <w:bidi w:val="0"/>
        <w:jc w:val="both"/>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financial condition, business strategy and plans, and objectives of management for future operations, are forward-looking statements. In some cases you can identify these statements by forward-looking words such as “believe,” “may,” “will,” “estimate,” “continue,” “anticipate,” “intend,” “could,” “would,” “project,” “plan,” “expect” or the negative or plural of these words or similar expressions. These forward-looking statements include, but are not limited to, statements concerning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timing and outcome of our current and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technologies and our ability to execute on our corporate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key scientific, medical, commercial and management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fund our working capital needs;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and breadth of our patent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Auxora and our other product candidates and the expected patient populations, market opportunities, commercial potential and commercialization strategy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our cash runway and expected use of cash and cash equivalents;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obtain additional funding and the ability to obtain such funding for our operations, including funding necessary to develop and commercialize our product candidates, subject to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plans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expected competitive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and maintain our corporate infrastructure, including our ability to design and maintain an effective system of internal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legislative and regulatory developments in the United States and other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claims relating to our intellectual property or other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future economic conditions or 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impact of global health pandemics, geopolitical conflicts and economic uncertainty, including tariffs and other trade measures, rising interest rates and inflation on our business and operations, including clinical trials, collaborators, contract research organizations (“CROs”) and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adequately protect intellectual property rights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approval for our product candidates and any related restrictions, limitations and/or warnings in the label of any approved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extend our operating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the market size of our product candidates, addressable patient populations, and future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service and comply with the terms of our outstanding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to satisfy the Nasdaq listing requirements and have our stock continue to trade on Nasdaq;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statements of belief and any statement of assumptions underlying any of the foregoing.</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greater detail under the heading “Risk Factors” and elsewhere in this Quarterly Report on Form 10-Q. You should not rely upon forward-looking statements as predictions of future events.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risk factors and uncertainties may emerge from time to time, and it is not possible for management to predict all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believe that the expectations reflected in the forward-looking statements are reasonable, we cannot guarantee future results, levels of activity, performance or achievements. Except as required by law, after the date of this report, we are under no duty to update or revise any of the forward-looking statements, whether as a result of new information, future events or otherwise.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obtained industry, market and competitive position data in this report from our own internal estimates and research as well as from industry and general publications and research surveys and studies conducted by third parties. These data involve a number of assumptions and limitations, and you are cautioned not to give undue weight to such information or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aps/>
          <w:color w:val="000000"/>
          <w:sz w:val="20"/>
          <w:u w:val="single"/>
        </w:rPr>
      </w:pPr>
      <w:r>
        <w:rPr>
          <w:rFonts w:ascii="Times New Roman" w:hAnsi="Times New Roman"/>
          <w:b/>
          <w:caps/>
          <w:color w:val="000000"/>
          <w:sz w:val="20"/>
          <w:u w:val="single"/>
        </w:rPr>
        <w:t>Summary of risks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stock involves a high degree of risk. Below is a list of the more significant risks associated with our business. This summary does not address all of the risks that we face. Additional discussion of the risks listed in this summary, as well as other risks that we face, are set forth under Part II, Item 1A, “Risk Factors” in this Quarterly Report on Form 10-Q. These risks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biopharmaceutical company with a limited operating history. We have a history of net losses and anticipate that we will incur significant losses in the future. We have never generated any revenue from product sales and may never be profitable.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for additional capital raises substantial doubt about our ability to continue as a going concern. We will need to obtain substantial additional funding to complete the development and any commercialization of our product candidates. If we are unable to raise this capital when needed, on acceptable terms, or at all, we may be forced to delay, reduce or eliminate the development of our product candidates or other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of the Loan Agreement place restrictions on our operating and financial flexibility. If we raise additional capital through debt financing, the terms of any new debt could further restrict our operating and financial flexibility.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rights to our proprietary platform 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proprietary CRAC channel inhibition science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use and expand our science to build a pipeline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highly dependent on the success of our product candidates, in particular Auxora and CM5480, and we may fail to develop Auxora and CM5480 successfully or be unable to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development is a lengthy, expensive and uncertain process. The results of preclinical studies and early clinical trials are not always predictive of future results. Any product candidate that we advance into clinical trials may not achieve favorable results in later clinical trials, if any, or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a significant portion of our CARPO trial in India, and regulatory authorities may not accept data from such trial or any future clinical trials we conduct outside the United States or the applicable foreign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enrollment of patients in our clinical trials for our product candidates. If we experience delays or difficulties enrolling patients in our clinical trials, our research and development efforts and business, financial condition, results of operations and prospects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conduct and perform most of our research, preclinical studies and clinical trials. If these third parties do not satisfactorily carry out their contractual duties, fail to comply with applicable regulatory requirements, fail to meet projected clinical trial enrollment schedules or fail to meet expected deadlines, our development programs may be delayed or subject to increased costs, each of which may have an adverse effect on our business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contract with third parties for the manufacturing and supply of certain goods and services for our product candidates for use in preclinical studies and clinical trials, which supply may become limited or interrupted or may not be of satisfactory quality and quantity.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approved product candidates may fail to achieve the degree of market acceptance by physicians, patients, hospitals, healthcare payors and others in the medical community necessary for commercial success.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successfully commercialize our product candidates due to unfavorable pricing regulations or third-party coverage and reimbursement policies, which could make it difficult for us to sell our product candidates profitably.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continue to successfully develop or commercialize our product candidates or otherwise implement our business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obtain and maintain sufficient intellectual property protection for Auxora, our other product candidates, and other proprietary technologies we develop, or if the scope of the intellectual property protection obtained is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sufficiently broad, our competitors could develop and commercialize products similar or identical to ours, and our ability to successfully commercialize Auxora, any future product candidates, and other proprietary technologies if approved,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operations subject us to disputes, claims and lawsuits, which may be costly and time-consuming and could materially and adversely impact our financial position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prospects.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left"/>
        <w:rPr/>
      </w:pPr>
      <w:r>
        <w:rPr/>
        <w:t> </w:t>
      </w:r>
    </w:p>
    <w:tbl>
      <w:tblPr>
        <w:tblW w:w="9384" w:type="dxa"/>
        <w:jc w:val="left"/>
        <w:tblInd w:w="0" w:type="dxa"/>
        <w:tblLayout w:type="fixed"/>
        <w:tblCellMar>
          <w:top w:w="28" w:type="dxa"/>
          <w:left w:w="28" w:type="dxa"/>
          <w:bottom w:w="28" w:type="dxa"/>
          <w:right w:w="28" w:type="dxa"/>
        </w:tblCellMar>
      </w:tblPr>
      <w:tblGrid>
        <w:gridCol w:w="811"/>
        <w:gridCol w:w="636"/>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operations">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comp_loss">
              <w:r>
                <w:rPr>
                  <w:rStyle w:val="InternetLink"/>
                  <w:rFonts w:ascii="Times New Roman" w:hAnsi="Times New Roman"/>
                  <w:color w:val="0000FF"/>
                  <w:sz w:val="20"/>
                  <w:u w:val="single"/>
                </w:rPr>
                <w:t>Condensed Consolidated Statements of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consolidated_statements_stockh">
              <w:r>
                <w:rPr>
                  <w:rStyle w:val="InternetLink"/>
                  <w:rFonts w:ascii="Times New Roman" w:hAnsi="Times New Roman"/>
                  <w:color w:val="0000FF"/>
                  <w:sz w:val="20"/>
                  <w:u w:val="single"/>
                </w:rPr>
                <w:t>Condensed Consolidated Statements of Stockholders’ Equity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ondensed_statements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s_to_condensed_financial_statements">
              <w:r>
                <w:rPr>
                  <w:rStyle w:val="InternetLink"/>
                  <w:rFonts w:ascii="Times New Roman" w:hAnsi="Times New Roman"/>
                  <w:color w:val="0000FF"/>
                  <w:sz w:val="20"/>
                  <w:u w:val="single"/>
                </w:rPr>
                <w:t>Notes to the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20"/>
                  <w:u w:val="single"/>
                </w:rPr>
                <w:t>PART II—OTHER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jc w:val="both"/>
        <w:rPr>
          <w:rFonts w:ascii="Times New Roman" w:hAnsi="Times New Roman"/>
          <w:sz w:val="20"/>
        </w:rPr>
      </w:pPr>
      <w:bookmarkStart w:id="3" w:name="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185"/>
        <w:gridCol w:w="146"/>
        <w:gridCol w:w="196"/>
        <w:gridCol w:w="751"/>
        <w:gridCol w:w="166"/>
        <w:gridCol w:w="146"/>
        <w:gridCol w:w="207"/>
        <w:gridCol w:w="796"/>
        <w:gridCol w:w="612"/>
      </w:tblGrid>
      <w:tr>
        <w:trPr/>
        <w:tc>
          <w:tcPr>
            <w:tcW w:w="7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prepaid expenses and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13,591</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20,232</w:t>
            </w:r>
          </w:p>
        </w:tc>
        <w:tc>
          <w:tcPr>
            <w:tcW w:w="6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10,000,000</w:t>
            </w:r>
            <w:r>
              <w:rPr>
                <w:rFonts w:ascii="Times New Roman" w:hAnsi="Times New Roman"/>
                <w:color w:val="000000"/>
                <w:sz w:val="20"/>
              </w:rPr>
              <w:t> </w:t>
            </w:r>
            <w:r>
              <w:rPr>
                <w:rFonts w:ascii="Times New Roman" w:hAnsi="Times New Roman"/>
                <w:color w:val="000000"/>
                <w:sz w:val="16"/>
              </w:rPr>
              <w:t>shares authorized at June 30, 2026 and December 31, 2025, respectively; no</w:t>
            </w:r>
            <w:r>
              <w:rPr>
                <w:rFonts w:ascii="Times New Roman" w:hAnsi="Times New Roman"/>
                <w:color w:val="000000"/>
                <w:sz w:val="20"/>
              </w:rPr>
              <w:t> </w:t>
            </w:r>
            <w:r>
              <w:rPr>
                <w:rFonts w:ascii="Times New Roman" w:hAnsi="Times New Roman"/>
                <w:color w:val="000000"/>
                <w:sz w:val="16"/>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500,000,000</w:t>
            </w:r>
            <w:r>
              <w:rPr>
                <w:rFonts w:ascii="Times New Roman" w:hAnsi="Times New Roman"/>
                <w:color w:val="000000"/>
                <w:sz w:val="20"/>
              </w:rPr>
              <w:t> </w:t>
            </w:r>
            <w:r>
              <w:rPr>
                <w:rFonts w:ascii="Times New Roman" w:hAnsi="Times New Roman"/>
                <w:color w:val="000000"/>
                <w:sz w:val="16"/>
              </w:rPr>
              <w:t>shares authorized at June 30, 2026 and December 31, 2025, respectively; 30,736,401</w:t>
            </w:r>
            <w:r>
              <w:rPr>
                <w:rFonts w:ascii="Times New Roman" w:hAnsi="Times New Roman"/>
                <w:color w:val="000000"/>
                <w:sz w:val="20"/>
              </w:rPr>
              <w:t> </w:t>
            </w:r>
            <w:r>
              <w:rPr>
                <w:rFonts w:ascii="Times New Roman" w:hAnsi="Times New Roman"/>
                <w:color w:val="000000"/>
                <w:sz w:val="16"/>
              </w:rPr>
              <w:t>and 15,437,410,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182,681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(189,326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13,591</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shares outstanding used in</w:t>
              <w:br/>
              <w:t>   computing 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17,100,457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14,995,404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16,464,841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14,560,900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comp_loss"/>
      <w:bookmarkEnd w:id="6"/>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Loss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009" w:type="dxa"/>
        <w:jc w:val="left"/>
        <w:tblInd w:w="0" w:type="dxa"/>
        <w:tblLayout w:type="fixed"/>
        <w:tblCellMar>
          <w:top w:w="28" w:type="dxa"/>
          <w:left w:w="28" w:type="dxa"/>
          <w:bottom w:w="28" w:type="dxa"/>
          <w:right w:w="28" w:type="dxa"/>
        </w:tblCellMar>
      </w:tblPr>
      <w:tblGrid>
        <w:gridCol w:w="3976"/>
        <w:gridCol w:w="146"/>
        <w:gridCol w:w="239"/>
        <w:gridCol w:w="716"/>
        <w:gridCol w:w="188"/>
        <w:gridCol w:w="165"/>
        <w:gridCol w:w="239"/>
        <w:gridCol w:w="716"/>
        <w:gridCol w:w="166"/>
        <w:gridCol w:w="146"/>
        <w:gridCol w:w="211"/>
        <w:gridCol w:w="631"/>
        <w:gridCol w:w="166"/>
        <w:gridCol w:w="146"/>
        <w:gridCol w:w="211"/>
        <w:gridCol w:w="736"/>
        <w:gridCol w:w="21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available-for-sale securities,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959"/>
        <w:gridCol w:w="146"/>
        <w:gridCol w:w="146"/>
        <w:gridCol w:w="1036"/>
        <w:gridCol w:w="146"/>
        <w:gridCol w:w="146"/>
        <w:gridCol w:w="261"/>
        <w:gridCol w:w="430"/>
        <w:gridCol w:w="146"/>
        <w:gridCol w:w="146"/>
        <w:gridCol w:w="211"/>
        <w:gridCol w:w="781"/>
        <w:gridCol w:w="146"/>
        <w:gridCol w:w="146"/>
        <w:gridCol w:w="211"/>
        <w:gridCol w:w="841"/>
        <w:gridCol w:w="166"/>
        <w:gridCol w:w="146"/>
        <w:gridCol w:w="460"/>
        <w:gridCol w:w="756"/>
        <w:gridCol w:w="166"/>
        <w:gridCol w:w="146"/>
        <w:gridCol w:w="250"/>
        <w:gridCol w:w="804"/>
        <w:gridCol w:w="413"/>
      </w:tblGrid>
      <w:tr>
        <w:trPr/>
        <w:tc>
          <w:tcPr>
            <w:tcW w:w="1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15,437,410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shares from private placement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warrants in connection with the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30,736,401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73"/>
        <w:gridCol w:w="146"/>
        <w:gridCol w:w="146"/>
        <w:gridCol w:w="1036"/>
        <w:gridCol w:w="146"/>
        <w:gridCol w:w="146"/>
        <w:gridCol w:w="261"/>
        <w:gridCol w:w="430"/>
        <w:gridCol w:w="146"/>
        <w:gridCol w:w="146"/>
        <w:gridCol w:w="211"/>
        <w:gridCol w:w="781"/>
        <w:gridCol w:w="146"/>
        <w:gridCol w:w="146"/>
        <w:gridCol w:w="211"/>
        <w:gridCol w:w="841"/>
        <w:gridCol w:w="166"/>
        <w:gridCol w:w="146"/>
        <w:gridCol w:w="460"/>
        <w:gridCol w:w="756"/>
        <w:gridCol w:w="166"/>
        <w:gridCol w:w="146"/>
        <w:gridCol w:w="247"/>
        <w:gridCol w:w="794"/>
        <w:gridCol w:w="412"/>
      </w:tblGrid>
      <w:tr>
        <w:trPr/>
        <w:tc>
          <w:tcPr>
            <w:tcW w:w="1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shares from underwritten public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bookmarkStart w:id="8" w:name="condensed_statements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054" w:type="dxa"/>
        <w:jc w:val="left"/>
        <w:tblInd w:w="0" w:type="dxa"/>
        <w:tblLayout w:type="fixed"/>
        <w:tblCellMar>
          <w:top w:w="28" w:type="dxa"/>
          <w:left w:w="28" w:type="dxa"/>
          <w:bottom w:w="28" w:type="dxa"/>
          <w:right w:w="28" w:type="dxa"/>
        </w:tblCellMar>
      </w:tblPr>
      <w:tblGrid>
        <w:gridCol w:w="6951"/>
        <w:gridCol w:w="146"/>
        <w:gridCol w:w="211"/>
        <w:gridCol w:w="676"/>
        <w:gridCol w:w="166"/>
        <w:gridCol w:w="146"/>
        <w:gridCol w:w="211"/>
        <w:gridCol w:w="736"/>
        <w:gridCol w:w="811"/>
      </w:tblGrid>
      <w:tr>
        <w:trPr/>
        <w:tc>
          <w:tcPr>
            <w:tcW w:w="6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fair value of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Promissory note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other current and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Maturity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promissory note,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from ATM Facility,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fees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bookmarkStart w:id="9" w:name="notes_to_condensed_financial_statements"/>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120" w:after="283"/>
        <w:jc w:val="both"/>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CalciMedica, Inc. (“CalciMedica” or the “Company”) (f/k/a Graybug Vision, Inc.) was incorporated in the state of Delaware in February 2015, following the conversion of Graybug, LLC, which was organized in May 2011, and has its principal operations in La Jolla, California. The Company is a clinical-stage biopharmaceutical company focused on developing therapeutics for serious acute and chronic inflammatory, immunologic and cardiopulmonary diseases. The Company had a wholly owned subsidiary, CalciMedica Subsidiary, Inc., incorporated in Delaware in October 2006, which survived the Merger as more fully described below. The CalciMedica Subsidiary entity was dissolved and combined with the Company as of December 31, 2024.</w:t>
      </w:r>
    </w:p>
    <w:p>
      <w:pPr>
        <w:pStyle w:val="TextBody"/>
        <w:bidi w:val="0"/>
        <w:spacing w:before="120" w:after="283"/>
        <w:jc w:val="both"/>
        <w:rPr>
          <w:rFonts w:ascii="Times New Roman" w:hAnsi="Times New Roman"/>
          <w:sz w:val="20"/>
        </w:rPr>
      </w:pPr>
      <w:r>
        <w:rPr>
          <w:rFonts w:ascii="Times New Roman" w:hAnsi="Times New Roman"/>
          <w:b/>
          <w:i/>
          <w:color w:val="000000"/>
          <w:sz w:val="20"/>
        </w:rPr>
        <w:t>Reverse Merger Transaction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20, 2023, Graybug Vision, Inc. (“Graybug”) completed a reverse merger transaction in accordance with the terms and conditions of the Agreement and Plan of Merger and Reorganization, dated as of November 21, 2022, as amended on February 10, 2023 (the “Merger Agreement”), by and among Graybug, Camaro Merger Sub, Inc., a wholly owned subsidiary of Graybug (“Merger Sub”), and CalciMedica, Inc. (“Private CalciMedica”), pursuant to which Merger Sub merged with and into Private CalciMedica, with Private CalciMedica surviving as a wholly owned subsidiary of Graybug (the “Merger”). Additionally, on March 20, 2023, Graybug changed its name from “Graybug Vision, Inc.” to “CalciMedica, Inc.” and Private CalciMedica changed its name from “CalciMedica, Inc.” to “CalciMedica Subsidiary, Inc.” At the completion of the Merger, the prior Private CalciMedica equity holders and the prior Graybug equity holders owned 72% and 28%, respectively, of the combined company, in each case, on a fully diluted basis using the treasury stock method and excluding out-of-the-money options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Merger was accounted for as a reverse recapitalization, with Private CalciMedica being treated as the acquirer for accounting purposes.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 and Need for Additional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experienced net losses and negative cash flows from operating activities since its inception. The Company has an accumulated deficit of $192.0 million as of June 30, 2026 and net loss of $7.7 million and $2.7 million for the three and six months ended June 30, 2026, respectively. Substantially all of the Company’s operating losses resulted from expenses incurred in connection with its research and development programs and from general and administrative costs associated with its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expects to incur significant expenses and increasing operating losses for the foreseeable future as the Company initiates and continues the preclinical and clinical development of its product candidates and adds personnel necessary to operate as a company with an advanced clinical pipeline of product candidates. The Company expects that its operating losses will fluctuate significantly from quarter-to-quarter and year-to-year due to timing of clinical development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inception to June 30, 2026, the Company has completed financings from the sale of preferred and common stock and warrants for total net proceeds of $159.9 million and has issued convertible promissory notes and promissory notes for net proceeds of $18.3 million. In connection with the Merger, the Company received approximately $29.4 million of cash, cash equivalents and short-term investments. At June 30, 2026, the Company had cash and cash equivalents of approximately $18.6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intends to seek additional funding through public and private financings, debt financings, collaboration agreements, strategic alliances and licensing agreements. Although the Company has been successful in raising capital in the past, there is no assurance of success in obtaining such additional financing on terms acceptable to us, if at all, and there is no assurance that the Company will be able to enter into collaborations or other arrangements. In addition, the terms of the Loan and Security Agreement and the Supplement to the Loan and Security Agreement (together, the “Loan Agreement”), dated as of February 28, 2025, by and among the Company, Avenue Venture Opportunities Fund II, L.P. (“Lender”) and Avenue Capital Management II, L.P., as administrative agent and collateral agent (the “Collateral Agent”), contain certain restrictions on incurring additional indebtedness. If the Company is unable to obtain funding when required or on acceptable terms, the Company may be required to scale back or discontinue the advancement of the product candidates, reduce headcount, file for bankruptcy, reorganize, merge with another entity or cease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Company’s current operating plans, management believes its cash and cash equivalents may not be sufficient to fund its operations for a period of one year following the issuance of these financial statements. As a result, there is substantial doubt about the Company’s ability to continue as a going concern. The unaudited condensed consolidated financial statements have been prepared on a basis which assumes we are a going concern and does not include any adjustments to reflect the possible future effects on the recoverability and classification of assets or the amounts and classifications of liabilities that may result from any uncertainty related to 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Company becomes unable to continue as a going concern, it may have to liquidate its assets, and might realize significantly less than the values at which they are carried on its financial statements, and stockholders may lose all or part of their investment in the Company’s common stock.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in conformity with U.S. generally accepted accounting principles (“U.S. GAAP”). Any reference in these notes to applicable guidance is meant to refer to the authoritative U.S. GAAP as found in the Accounting Standards Codification (“ASC”), and Accounting Standards Update (“ASU”), of the Financial Accounting Standards Board (“FASB”). </w:t>
      </w:r>
    </w:p>
    <w:p>
      <w:pPr>
        <w:pStyle w:val="TextBody"/>
        <w:bidi w:val="0"/>
        <w:spacing w:before="12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 Company’s unaudited condensed consolidated financial statements requires management to make estimates and assumptions that impact the reported amounts of assets, liabilities and expenses and the disclosure of contingent assets and liabilities in the Company’s unaudited condensed consolidated financial statements and accompanying notes. The most significant estimates in the Company’s unaudited condensed consolidated financial statements relate to accruals for research and development expenses, valuation of promissory notes, valuation of warrants and valuation of equity awards.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which potentially subject the Company to concentration of risk, consist principally of cash and cash equivalents. The Company’s cash is deposited with major federally insured U.S. financial institutions. The Company has no off-balance sheet concentrations of credit risk, such as foreign currency exchange contracts, option contracts or other hedging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dependent on contract manufacturing organizations (“CMO”) to supply products for research and development of its product candidates, including preclinical and clinical studies, and for commercialization of its product candidates, if approved. The Company’s development programs could be adversely affected by any significant interruption in CMO operations or by a significant interruption in the supply of active pharmaceutical ingredients and other components.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Products developed by the Company require approval from the U.S. Food and Drug Administration (“FDA”) or other international regulatory agencies prior to commercial sales. There can be no assurance the Company’s product candidates will receive the necessary approvals. If the Company is denied approvals, approvals are delayed, or the Company is unable to maintain approvals received, such events could have a materially adverse impact on the Company.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cash equivalents typically consist of readily available cash in checking accounts, money market funds, commercial paper and U.S. government sponsored entities, such as mortgage-backed securities. The Company considers all highly liquid investments with an original maturity of three months or less from the date of purchase to be cash equivalents.</w:t>
      </w:r>
    </w:p>
    <w:p>
      <w:pPr>
        <w:pStyle w:val="TextBody"/>
        <w:bidi w:val="0"/>
        <w:spacing w:before="120" w:after="283"/>
        <w:jc w:val="both"/>
        <w:rPr>
          <w:rFonts w:ascii="Times New Roman" w:hAnsi="Times New Roman"/>
          <w:sz w:val="20"/>
        </w:rPr>
      </w:pPr>
      <w:r>
        <w:rPr>
          <w:rFonts w:ascii="Times New Roman" w:hAnsi="Times New Roman"/>
          <w:b/>
          <w:i/>
          <w:color w:val="000000"/>
          <w:sz w:val="20"/>
        </w:rPr>
        <w:t>Short-term Investments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invests excess cash in commercial paper and U.S. government sponsored entities, such as mortgage-backed securities. These investments are included in short-term investments on the balance sheet, classified as available-for-sale and reported at fair value with unrealized gains and losses included in accumulated other comprehensive loss. Realized gains and losses on the sale of these securities are recognized in net gain (loss) in other income (expense) in the unaudited condensed consolidated statements of operations, however, the Company currently has no short-term investments as of June 30, 2026.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manages its operations as a single segment for the purposes of assessing performance and making operating decisions. The financial information is regularly reviewed by the chief operating decision maker (“CODM”), in deciding how to allocate resources. The Company’s CODM is its chief executive officer. The Company’s singular focus is on developing highly selective calcium release-activated calcium channel inhibitors to improve outcomes for patients with serious disease driven by inflammatory and immunologic processes and direct cellular damage. No revenue has been generated since inception, and all tangible assets are held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operates as one operating segment focused on developing and commercializing innovative therapeutics primarily in the U.S. The accounting policies of the segment are the same as those described in the summary of significant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determination of a single business segment is consistent with the consolidated financial information regularly reviewed by the chief executive officer, who is the Company's CODM, in assessing segment performance and deciding how to allocate resources on a consolidated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CODM makes decisions on resource allocation, assesses performance of the business, and monitors budget versus actual results using income from operations. Net loss is also a measure that is considered in monitoring budget versus actual results. The measure of segment assets is reported on the unaudited condensed consolidated balance sheets as total assets.</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about reported segment loss and significant segment expenses for the three and six months ended June 30, 2026 and 2025 (in thousands):</w:t>
      </w:r>
    </w:p>
    <w:p>
      <w:pPr>
        <w:pStyle w:val="TextBody"/>
        <w:bidi w:val="0"/>
        <w:jc w:val="left"/>
        <w:rPr/>
      </w:pPr>
      <w:r>
        <w:rPr/>
        <w:t> </w:t>
      </w:r>
    </w:p>
    <w:tbl>
      <w:tblPr>
        <w:tblW w:w="8535" w:type="dxa"/>
        <w:jc w:val="left"/>
        <w:tblInd w:w="0" w:type="dxa"/>
        <w:tblLayout w:type="fixed"/>
        <w:tblCellMar>
          <w:top w:w="28" w:type="dxa"/>
          <w:left w:w="28" w:type="dxa"/>
          <w:bottom w:w="28" w:type="dxa"/>
          <w:right w:w="28" w:type="dxa"/>
        </w:tblCellMar>
      </w:tblPr>
      <w:tblGrid>
        <w:gridCol w:w="3336"/>
        <w:gridCol w:w="146"/>
        <w:gridCol w:w="240"/>
        <w:gridCol w:w="700"/>
        <w:gridCol w:w="203"/>
        <w:gridCol w:w="179"/>
        <w:gridCol w:w="240"/>
        <w:gridCol w:w="700"/>
        <w:gridCol w:w="166"/>
        <w:gridCol w:w="146"/>
        <w:gridCol w:w="209"/>
        <w:gridCol w:w="610"/>
        <w:gridCol w:w="177"/>
        <w:gridCol w:w="156"/>
        <w:gridCol w:w="209"/>
        <w:gridCol w:w="707"/>
        <w:gridCol w:w="41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Segment research and development </w:t>
            </w:r>
            <w:r>
              <w:rPr>
                <w:rFonts w:ascii="Times New Roman" w:hAnsi="Times New Roman"/>
                <w:i/>
                <w:color w:val="000000"/>
                <w:sz w:val="18"/>
              </w:rPr>
              <w:t>(a)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Segment general and administrative </w:t>
            </w:r>
            <w:r>
              <w:rPr>
                <w:rFonts w:ascii="Times New Roman" w:hAnsi="Times New Roman"/>
                <w:i/>
                <w:color w:val="000000"/>
                <w:sz w:val="18"/>
              </w:rPr>
              <w:t>(a)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(see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sz w:val="20"/>
        </w:rPr>
      </w:pPr>
      <w:r>
        <w:rPr>
          <w:rFonts w:ascii="Times New Roman" w:hAnsi="Times New Roman"/>
          <w:i/>
          <w:color w:val="000000"/>
          <w:sz w:val="20"/>
        </w:rPr>
        <w:t>Stock-based compensation expense of $224,000</w:t>
      </w:r>
      <w:r>
        <w:rPr>
          <w:rFonts w:ascii="Times New Roman" w:hAnsi="Times New Roman"/>
          <w:color w:val="000000"/>
          <w:sz w:val="20"/>
        </w:rPr>
        <w:t xml:space="preserve"> </w:t>
      </w:r>
      <w:r>
        <w:rPr>
          <w:rFonts w:ascii="Times New Roman" w:hAnsi="Times New Roman"/>
          <w:i/>
          <w:color w:val="000000"/>
          <w:sz w:val="20"/>
        </w:rPr>
        <w:t>and $381,000</w:t>
      </w:r>
      <w:r>
        <w:rPr>
          <w:rFonts w:ascii="Times New Roman" w:hAnsi="Times New Roman"/>
          <w:color w:val="000000"/>
          <w:sz w:val="20"/>
        </w:rPr>
        <w:t xml:space="preserve"> </w:t>
      </w:r>
      <w:r>
        <w:rPr>
          <w:rFonts w:ascii="Times New Roman" w:hAnsi="Times New Roman"/>
          <w:i/>
          <w:color w:val="000000"/>
          <w:sz w:val="20"/>
        </w:rPr>
        <w:t>related to research and development and $316,000</w:t>
      </w:r>
      <w:r>
        <w:rPr>
          <w:rFonts w:ascii="Times New Roman" w:hAnsi="Times New Roman"/>
          <w:color w:val="000000"/>
          <w:sz w:val="20"/>
        </w:rPr>
        <w:t xml:space="preserve"> </w:t>
      </w:r>
      <w:r>
        <w:rPr>
          <w:rFonts w:ascii="Times New Roman" w:hAnsi="Times New Roman"/>
          <w:i/>
          <w:color w:val="000000"/>
          <w:sz w:val="20"/>
        </w:rPr>
        <w:t>and $793,000</w:t>
      </w:r>
      <w:r>
        <w:rPr>
          <w:rFonts w:ascii="Times New Roman" w:hAnsi="Times New Roman"/>
          <w:color w:val="000000"/>
          <w:sz w:val="20"/>
        </w:rPr>
        <w:t xml:space="preserve"> </w:t>
      </w:r>
      <w:r>
        <w:rPr>
          <w:rFonts w:ascii="Times New Roman" w:hAnsi="Times New Roman"/>
          <w:i/>
          <w:color w:val="000000"/>
          <w:sz w:val="20"/>
        </w:rPr>
        <w:t>related to general and administrative have been excluded for the three months ended June 30, 2026 and 2025, respectively. Stock-based compensation expense of $443,000</w:t>
      </w:r>
      <w:r>
        <w:rPr>
          <w:rFonts w:ascii="Times New Roman" w:hAnsi="Times New Roman"/>
          <w:color w:val="000000"/>
          <w:sz w:val="20"/>
        </w:rPr>
        <w:t xml:space="preserve"> </w:t>
      </w:r>
      <w:r>
        <w:rPr>
          <w:rFonts w:ascii="Times New Roman" w:hAnsi="Times New Roman"/>
          <w:i/>
          <w:color w:val="000000"/>
          <w:sz w:val="20"/>
        </w:rPr>
        <w:t>and $559,000</w:t>
      </w:r>
      <w:r>
        <w:rPr>
          <w:rFonts w:ascii="Times New Roman" w:hAnsi="Times New Roman"/>
          <w:color w:val="000000"/>
          <w:sz w:val="20"/>
        </w:rPr>
        <w:t xml:space="preserve"> </w:t>
      </w:r>
      <w:r>
        <w:rPr>
          <w:rFonts w:ascii="Times New Roman" w:hAnsi="Times New Roman"/>
          <w:i/>
          <w:color w:val="000000"/>
          <w:sz w:val="20"/>
        </w:rPr>
        <w:t>related to research and development and $658,000</w:t>
      </w:r>
      <w:r>
        <w:rPr>
          <w:rFonts w:ascii="Times New Roman" w:hAnsi="Times New Roman"/>
          <w:color w:val="000000"/>
          <w:sz w:val="20"/>
        </w:rPr>
        <w:t xml:space="preserve"> </w:t>
      </w:r>
      <w:r>
        <w:rPr>
          <w:rFonts w:ascii="Times New Roman" w:hAnsi="Times New Roman"/>
          <w:i/>
          <w:color w:val="000000"/>
          <w:sz w:val="20"/>
        </w:rPr>
        <w:t>and $1,165,000</w:t>
      </w:r>
      <w:r>
        <w:rPr>
          <w:rFonts w:ascii="Times New Roman" w:hAnsi="Times New Roman"/>
          <w:color w:val="000000"/>
          <w:sz w:val="20"/>
        </w:rPr>
        <w:t xml:space="preserve"> </w:t>
      </w:r>
      <w:r>
        <w:rPr>
          <w:rFonts w:ascii="Times New Roman" w:hAnsi="Times New Roman"/>
          <w:i/>
          <w:color w:val="000000"/>
          <w:sz w:val="20"/>
        </w:rPr>
        <w:t>related to general and administrative have been excluded for the six months ended June 30, 2026 and 2025, respectively. All amounts are included within stock-based compensation expense.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both"/>
        <w:rPr>
          <w:rFonts w:ascii="Times New Roman" w:hAnsi="Times New Roman"/>
          <w:sz w:val="20"/>
        </w:rPr>
      </w:pPr>
      <w:r>
        <w:rPr>
          <w:rFonts w:ascii="Times New Roman" w:hAnsi="Times New Roman"/>
          <w:i/>
          <w:color w:val="000000"/>
          <w:sz w:val="20"/>
        </w:rPr>
        <w:t>Depreciation expense of $4,000</w:t>
      </w:r>
      <w:r>
        <w:rPr>
          <w:rFonts w:ascii="Times New Roman" w:hAnsi="Times New Roman"/>
          <w:color w:val="000000"/>
          <w:sz w:val="20"/>
        </w:rPr>
        <w:t xml:space="preserve"> </w:t>
      </w:r>
      <w:r>
        <w:rPr>
          <w:rFonts w:ascii="Times New Roman" w:hAnsi="Times New Roman"/>
          <w:i/>
          <w:color w:val="000000"/>
          <w:sz w:val="20"/>
        </w:rPr>
        <w:t>and $7,000</w:t>
      </w:r>
      <w:r>
        <w:rPr>
          <w:rFonts w:ascii="Times New Roman" w:hAnsi="Times New Roman"/>
          <w:color w:val="000000"/>
          <w:sz w:val="20"/>
        </w:rPr>
        <w:t xml:space="preserve"> </w:t>
      </w:r>
      <w:r>
        <w:rPr>
          <w:rFonts w:ascii="Times New Roman" w:hAnsi="Times New Roman"/>
          <w:i/>
          <w:color w:val="000000"/>
          <w:sz w:val="20"/>
        </w:rPr>
        <w:t>related to research and development and $3,000</w:t>
      </w:r>
      <w:r>
        <w:rPr>
          <w:rFonts w:ascii="Times New Roman" w:hAnsi="Times New Roman"/>
          <w:color w:val="000000"/>
          <w:sz w:val="20"/>
        </w:rPr>
        <w:t xml:space="preserve"> </w:t>
      </w:r>
      <w:r>
        <w:rPr>
          <w:rFonts w:ascii="Times New Roman" w:hAnsi="Times New Roman"/>
          <w:i/>
          <w:color w:val="000000"/>
          <w:sz w:val="20"/>
        </w:rPr>
        <w:t>and $8,000</w:t>
      </w:r>
      <w:r>
        <w:rPr>
          <w:rFonts w:ascii="Times New Roman" w:hAnsi="Times New Roman"/>
          <w:color w:val="000000"/>
          <w:sz w:val="20"/>
        </w:rPr>
        <w:t xml:space="preserve"> </w:t>
      </w:r>
      <w:r>
        <w:rPr>
          <w:rFonts w:ascii="Times New Roman" w:hAnsi="Times New Roman"/>
          <w:i/>
          <w:color w:val="000000"/>
          <w:sz w:val="20"/>
        </w:rPr>
        <w:t>related to general and administrative have been excluded for the three months ended June 30, 2026 and 2025, respectively. Depreciation expense of $8,000</w:t>
      </w:r>
      <w:r>
        <w:rPr>
          <w:rFonts w:ascii="Times New Roman" w:hAnsi="Times New Roman"/>
          <w:color w:val="000000"/>
          <w:sz w:val="20"/>
        </w:rPr>
        <w:t xml:space="preserve"> </w:t>
      </w:r>
      <w:r>
        <w:rPr>
          <w:rFonts w:ascii="Times New Roman" w:hAnsi="Times New Roman"/>
          <w:i/>
          <w:color w:val="000000"/>
          <w:sz w:val="20"/>
        </w:rPr>
        <w:t>and $14,000</w:t>
      </w:r>
      <w:r>
        <w:rPr>
          <w:rFonts w:ascii="Times New Roman" w:hAnsi="Times New Roman"/>
          <w:color w:val="000000"/>
          <w:sz w:val="20"/>
        </w:rPr>
        <w:t xml:space="preserve"> </w:t>
      </w:r>
      <w:r>
        <w:rPr>
          <w:rFonts w:ascii="Times New Roman" w:hAnsi="Times New Roman"/>
          <w:i/>
          <w:color w:val="000000"/>
          <w:sz w:val="20"/>
        </w:rPr>
        <w:t>related to research and development and $6,000</w:t>
      </w:r>
      <w:r>
        <w:rPr>
          <w:rFonts w:ascii="Times New Roman" w:hAnsi="Times New Roman"/>
          <w:color w:val="000000"/>
          <w:sz w:val="20"/>
        </w:rPr>
        <w:t xml:space="preserve"> </w:t>
      </w:r>
      <w:r>
        <w:rPr>
          <w:rFonts w:ascii="Times New Roman" w:hAnsi="Times New Roman"/>
          <w:i/>
          <w:color w:val="000000"/>
          <w:sz w:val="20"/>
        </w:rPr>
        <w:t>and $16,000</w:t>
      </w:r>
      <w:r>
        <w:rPr>
          <w:rFonts w:ascii="Times New Roman" w:hAnsi="Times New Roman"/>
          <w:color w:val="000000"/>
          <w:sz w:val="20"/>
        </w:rPr>
        <w:t xml:space="preserve"> </w:t>
      </w:r>
      <w:r>
        <w:rPr>
          <w:rFonts w:ascii="Times New Roman" w:hAnsi="Times New Roman"/>
          <w:i/>
          <w:color w:val="000000"/>
          <w:sz w:val="20"/>
        </w:rPr>
        <w:t>related to general and administrative have been excluded for the six months ended June 30, 2026 and 2025, respectively. All amounts are included within depreciation expense.</w:t>
      </w:r>
    </w:p>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Fair Value Promissory Note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permitted under ASC 825, </w:t>
      </w:r>
      <w:r>
        <w:rPr>
          <w:rFonts w:ascii="Times New Roman" w:hAnsi="Times New Roman"/>
          <w:i/>
          <w:color w:val="000000"/>
          <w:sz w:val="20"/>
        </w:rPr>
        <w:t>Financial Instruments</w:t>
      </w:r>
      <w:r>
        <w:rPr>
          <w:rFonts w:ascii="Times New Roman" w:hAnsi="Times New Roman"/>
          <w:color w:val="000000"/>
          <w:sz w:val="20"/>
        </w:rPr>
        <w:t>, the Company has elected the fair value option to account for its promissory note due to certain embedded features within the notes and has continued to elect the fair value option inclusive of the loan amendment (see Note 5). The Company recognizes the promissory note at fair value with changes in fair value recognized in the unaudited condensed consolidated statements of operations located on the change in fair value of financial instruments line item. Changes in fair value as a result of the Company’s own credit risk is reflected in other income (expense) in the unaudited condensed consolidated statements of operations. As a result of applying the fair value option, direct costs and fees related to the promissory note were expensed as incurred and not deferred (see Note 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leases office space with an original lease term of twelve months and does not have a right-of-use asset or lease liability recorded. The Company's policy is not to record leases with an original term of twelve months or less on the unaudited condensed consolidated balance sheets. The Company recognizes lease expense for this short-term lease on a straight-line basis over the term of the lease. The lease is accounted for under ASC 842, </w:t>
      </w:r>
      <w:r>
        <w:rPr>
          <w:rFonts w:ascii="Times New Roman" w:hAnsi="Times New Roman"/>
          <w:i/>
          <w:color w:val="000000"/>
          <w:sz w:val="20"/>
        </w:rPr>
        <w:t>Leases</w:t>
      </w:r>
      <w:r>
        <w:rPr>
          <w:rFonts w:ascii="Times New Roman" w:hAnsi="Times New Roman"/>
          <w:color w:val="000000"/>
          <w:sz w:val="20"/>
        </w:rPr>
        <w:t>, and has been classified as an operating lease. Rent expense recognized was $13,000 and $33,000 for the three months ended June 30, 2026 and 2025, respectively and $44,000 and $63,000 for the six months ended June 30, 2026 and 2025, respectively.</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costs consist primarily of salaries, payroll taxes, employee benefits and stock-based compensation for those individuals involved in ongoing research and development efforts, as well as fees paid to consultants, external research fees, license fees paid to third parties for use of their intellectual property, laboratory supplies and development of compound materials, associated overhead expenses and facilities and depreciation costs. Nonrefundable advance payments for goods and services that will be used in future research and development activities are expensed when the activity has been performed or when the goods have been received rather than when the payment is made. All research and development costs are expensed as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 and Administrative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related benefits, including stock-based compensation, related to executive, finance, business development, legal, human resources and support functions, including professional fees for auditing, tax, consulting and patent-related services, rent, utilities and insurance. </w:t>
      </w:r>
    </w:p>
    <w:p>
      <w:pPr>
        <w:pStyle w:val="TextBody"/>
        <w:bidi w:val="0"/>
        <w:spacing w:before="120" w:after="283"/>
        <w:jc w:val="both"/>
        <w:rPr>
          <w:rFonts w:ascii="Times New Roman" w:hAnsi="Times New Roman"/>
          <w:sz w:val="20"/>
        </w:rPr>
      </w:pPr>
      <w:r>
        <w:rPr>
          <w:rFonts w:ascii="Times New Roman" w:hAnsi="Times New Roman"/>
          <w:b/>
          <w:i/>
          <w:color w:val="000000"/>
          <w:sz w:val="20"/>
        </w:rPr>
        <w:t>Patent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related to filing and pursuing patent applications are expensed as incurred since recoverability of such expenditures is uncertain. </w:t>
      </w:r>
    </w:p>
    <w:p>
      <w:pPr>
        <w:pStyle w:val="TextBody"/>
        <w:bidi w:val="0"/>
        <w:spacing w:before="120" w:after="283"/>
        <w:jc w:val="both"/>
        <w:rPr>
          <w:rFonts w:ascii="Times New Roman" w:hAnsi="Times New Roman"/>
          <w:sz w:val="20"/>
        </w:rPr>
      </w:pPr>
      <w:r>
        <w:rPr>
          <w:rFonts w:ascii="Times New Roman" w:hAnsi="Times New Roman"/>
          <w:b/>
          <w:i/>
          <w:color w:val="000000"/>
          <w:sz w:val="20"/>
        </w:rPr>
        <w:t>Offering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costs that are directly associated with equity financings until such financings are consummated, at which time such costs are recorded against the gross proceeds of the offering in the Company’s unaudited condensed consolidated balance sheets. Should an in-process equity financing be abandoned, the offering costs will be expensed immediately as a charge to operating expenses in the statements of operations. During the period, the Company had no unpaid costs associated with its ATM Facility (as defined in Note 6). All costs related to the June 25, 2026 financing have been recorded against the gross proceeds of the offering (see Note 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2024 Private Placement (described in Note 6) and the Loan executed in 2025 and subsequent loan amendment (described in Note 5), certain warrants to purchase common stock were deemed freestanding warrants and are reflected in the Company’s unaudited condensed consolidated balance sheets as a liability as of and for the period ending June 30, 2026.</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represents the cost of the grant date fair value of employee stock options, restricted stock units (“RSUs”) and Common Stock Warrants (as defined in Note 6) recognized over the requisite service period of the awards (usually the vesting period) on a straight-line basis. The Company estimates the fair value of stock option grants, RSUs and Common Stock Warrants using the Black-Scholes option pricing model (“Black-Scholes”). Forfeitures are recognized as a reduction of stock-based compensation expense as they occur. Equity-based compensation expense is classified in the statements of operations in the same manner in which the award recipients’ payroll costs are classified or in which the award recipients’ service payments are classified. The fair value of each stock option grant, RSU and Common Stock Warrant is estimated on the date of grant using Black Scholes. The following summarizes the inputs used:</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Fair Value of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Company uses the closing stock price the day of the grant date for the fair value.</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Risk-Free Interest Rate</w:t>
      </w:r>
    </w:p>
    <w:p>
      <w:pPr>
        <w:pStyle w:val="TextBody"/>
        <w:bidi w:val="0"/>
        <w:spacing w:before="120" w:after="283"/>
        <w:jc w:val="both"/>
        <w:rPr>
          <w:rFonts w:ascii="Times New Roman" w:hAnsi="Times New Roman"/>
          <w:sz w:val="20"/>
        </w:rPr>
      </w:pPr>
      <w:r>
        <w:rPr>
          <w:rFonts w:ascii="Times New Roman" w:hAnsi="Times New Roman"/>
          <w:color w:val="000000"/>
          <w:sz w:val="20"/>
        </w:rPr>
        <w:t>The risk-free interest ra</w:t>
      </w:r>
      <w:r>
        <w:rPr>
          <w:rFonts w:ascii="Times New Roman" w:hAnsi="Times New Roman"/>
          <w:color w:val="231F20"/>
          <w:sz w:val="20"/>
        </w:rPr>
        <w:t>te is based on the U.S. Treasury yield in effect at the time of grant for zero coupon U.S. Treasury notes with maturities similar to the expected term of the awards.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Expected Volatility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uses an average volatility for comparable publicly-traded biopharmaceutical companies over a period equal to the expected term of the stock award grant as the Company does not yet have sufficient historical trading history for its own stock. The Company will continue to apply this method until a sufficient amount of historical information over a period equal to the expected term of the stock-based awards becomes available.</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Expected Term</w:t>
      </w:r>
    </w:p>
    <w:p>
      <w:pPr>
        <w:pStyle w:val="TextBody"/>
        <w:bidi w:val="0"/>
        <w:spacing w:before="120" w:after="283"/>
        <w:jc w:val="both"/>
        <w:rPr>
          <w:rFonts w:ascii="Times New Roman" w:hAnsi="Times New Roman"/>
          <w:sz w:val="20"/>
        </w:rPr>
      </w:pPr>
      <w:r>
        <w:rPr>
          <w:rFonts w:ascii="Times New Roman" w:hAnsi="Times New Roman"/>
          <w:color w:val="000000"/>
          <w:sz w:val="20"/>
        </w:rPr>
        <w:t>The Company used the simplified method to calc</w:t>
      </w:r>
      <w:r>
        <w:rPr>
          <w:rFonts w:ascii="Times New Roman" w:hAnsi="Times New Roman"/>
          <w:color w:val="231F20"/>
          <w:sz w:val="20"/>
        </w:rPr>
        <w:t xml:space="preserve">ulate the expected term for all grants during all periods, which is based on the midpoint between the vesting date and the end of the contractual term.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Expected Dividend Yield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Company has never paid and has no present intention to pay cash dividends.</w:t>
      </w:r>
    </w:p>
    <w:p>
      <w:pPr>
        <w:pStyle w:val="TextBody"/>
        <w:bidi w:val="0"/>
        <w:spacing w:before="12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their net recorded amount, management would make an adjustment to the deferred tax asset valuation allowance, which would reduce the provision for income taxes.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is defined as a change in equity during a period from transactions and other events and circumstances from non-owner sources which are excluded from net loss. The Company’s only element of other comprehensive loss is unrealized gains and losses on marketable securities and short-term investments.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board of directors reviews and approves transactions with directors, officers and holders of 5% or more of its voting securities and their affiliates, each a related party. The material facts as to the related party’s relationship or interest in the transaction are disclosed to its board of directors prior to their consideration of such transaction, and the transaction is not considered approved by its board of directors unless a majority of the directors who are not interested in the transaction approve the transaction.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2024, the Company granted a warrant to purchase 10,000 shares of common stock to a consulting firm affiliated with the Company’s former interim chief financial officer. The warrant is classified as equity, and the Company recorded expense of zero and $2,000 for the three months ended June 30, 2026 and 2025, respectively, and zero and $7,000 for the six months ended June 30, 2026 and 2025, respectively, in general and administrative expense in the unaudited condensed consolidated statements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is computed using the weighted average number of shares of common stock outstanding during the period, including the Pre-Funded Warrants which were exercised on January 28, 2026 and the Pre-Funded Warrants which were exercised on June 25, 2026, and Placement Agent Warrants (as defined in Note 6). The Company calculates diluted net loss per share using the more dilutive of the (i) treasury stock method, if-converted method, or contingently issuable share method, as applicable, or (ii) the two-class method. For warrants, the calculation of diluted net loss per share requires that, to the extent the average fair value of the underlying shares for the reporting period exceeds the exercise price of the warrants and the presumed exercise of such securities are dilutive to net loss per share for the period, adjustments to net loss used in the calculation are required to remove the change in fair value of the warrants for the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periods presented, the Company’s outstanding stock options, RSUs and warrants, other than the Pre-Funded Warrants and Placement Agent Warrants, were excluded from the calculation of net loss per share because the effect would be antidilutive.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xml:space="preserve"> which requires public entities to disclose in the notes to financial statements, of additional specified information about certain costs and expenses. For public business entities, the guidance is effective for annual periods beginning after December 15, 2026 and interim periods after December 15, 2027, with early adoption permitted. The Company is currently assessing the impact that this guidance will have on the consolidated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("ASU 2025-11"). ASU 2025-11 is intended to improve the navigability of guidance in ASC 270, Interim Reporting, and clarify when it applies. The amendments also provide additional guidance on what disclosures should be provided in interim reporting periods. ASU 2025-11 is effective for fiscal years beginning after December 15, 2027, including interim periods within those fiscal years, and permits prospective or full retrospective adoption. The Company is evaluating the impact of this guidance on its consolidated financial statements and related disclosures.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No. 2025-12, </w:t>
      </w:r>
      <w:r>
        <w:rPr>
          <w:rFonts w:ascii="Times New Roman" w:hAnsi="Times New Roman"/>
          <w:i/>
          <w:color w:val="000000"/>
          <w:sz w:val="20"/>
        </w:rPr>
        <w:t>Codification Improvements</w:t>
      </w:r>
      <w:r>
        <w:rPr>
          <w:rFonts w:ascii="Times New Roman" w:hAnsi="Times New Roman"/>
          <w:color w:val="000000"/>
          <w:sz w:val="20"/>
        </w:rPr>
        <w:t xml:space="preserve"> ("ASU 2025-12"). ASU 2025-12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Entities are required to apply the amendments to ASC 260 retrospectively. All other amendments may be applied prospectively or retrospectively. Early adoption is permitted. The Company is evaluating the impact of this guidance on its consolidated financial statements and related disclosures.</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assets and liabilities which are measured at fair value include short-term investments, the promissory note and warrants for common stock. All assets and liabilities recorded at fair value are revalued at each measurement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elected the fair value option for the promissory note and estimated the fair value based on a discounted cash flow analysis, a form of the Income Approach. Several different settlement scenarios were considered, and probability weighted to arrive at the final valuation. Increases or decreases in the fair value of the promissory note can result from updates to assumptions such as the expected timing or probability of the different settlement scenarios, or changes in discount rates. Judgment is used in determining these assumptions as of the initial valuation date and at each subsequent reporting period. Updates to assumptions could have a significant impact on our results of operations in any given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Common Warrants (as defined in Note 6) were valued using Black-Scholes utilizing the following inputs; (i) a risk-free interest rate; (ii) volatility based on the expected term of the Common Warrant; (iii) and an exercise price and stock price on the date of the transaction. Several different scenarios were considered, and probability weighted to arrive at the final valuation. Increases or decreases in the fair value of the Common Warrants can result from updates to assumptions such as the expected timing or probability of the different settlement scenarios. Judgment is used in determining these assumptions as of the initial valuation date and at each subsequent reporting period. Updates to assumptions could have a significant impact on our results of operations in any given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three levels: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1:</w:t>
      </w:r>
      <w:r>
        <w:rPr>
          <w:color w:val="000000"/>
        </w:rPr>
        <w:t xml:space="preserve"> </w:t>
      </w:r>
      <w:r>
        <w:rPr>
          <w:rFonts w:ascii="Times New Roman" w:hAnsi="Times New Roman"/>
          <w:color w:val="000000"/>
          <w:sz w:val="20"/>
        </w:rPr>
        <w:t xml:space="preserve">Observable inputs such as unadjusted quoted prices in active markets for identical assets or liabilities at the measurement date.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2:</w:t>
      </w:r>
      <w:r>
        <w:rPr>
          <w:color w:val="000000"/>
        </w:rPr>
        <w:t xml:space="preserve"> </w:t>
      </w:r>
      <w:r>
        <w:rPr>
          <w:rFonts w:ascii="Times New Roman" w:hAnsi="Times New Roman"/>
          <w:color w:val="000000"/>
          <w:sz w:val="20"/>
        </w:rPr>
        <w:t>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3:</w:t>
      </w:r>
      <w:r>
        <w:rPr>
          <w:color w:val="000000"/>
        </w:rPr>
        <w:t xml:space="preserve"> </w:t>
      </w:r>
      <w:r>
        <w:rPr>
          <w:rFonts w:ascii="Times New Roman" w:hAnsi="Times New Roman"/>
          <w:color w:val="000000"/>
          <w:sz w:val="20"/>
        </w:rPr>
        <w:t xml:space="preserve">Unobservable inputs that are supported by little or no market activity and that are significant to the fair value of the assets or liabilities.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and indicates the level of the fair value hierarchy utilized to determine such fair values (in thousands):</w:t>
      </w:r>
    </w:p>
    <w:p>
      <w:pPr>
        <w:pStyle w:val="TextBody"/>
        <w:bidi w:val="0"/>
        <w:spacing w:before="120" w:after="283"/>
        <w:jc w:val="both"/>
        <w:rPr/>
      </w:pPr>
      <w:r>
        <w:rPr/>
        <w:t> </w:t>
      </w:r>
    </w:p>
    <w:tbl>
      <w:tblPr>
        <w:tblW w:w="7403" w:type="dxa"/>
        <w:jc w:val="left"/>
        <w:tblInd w:w="0" w:type="dxa"/>
        <w:tblLayout w:type="fixed"/>
        <w:tblCellMar>
          <w:top w:w="28" w:type="dxa"/>
          <w:left w:w="28" w:type="dxa"/>
          <w:bottom w:w="28" w:type="dxa"/>
          <w:right w:w="28" w:type="dxa"/>
        </w:tblCellMar>
      </w:tblPr>
      <w:tblGrid>
        <w:gridCol w:w="2936"/>
        <w:gridCol w:w="146"/>
        <w:gridCol w:w="196"/>
        <w:gridCol w:w="601"/>
        <w:gridCol w:w="146"/>
        <w:gridCol w:w="146"/>
        <w:gridCol w:w="228"/>
        <w:gridCol w:w="402"/>
        <w:gridCol w:w="146"/>
        <w:gridCol w:w="146"/>
        <w:gridCol w:w="228"/>
        <w:gridCol w:w="402"/>
        <w:gridCol w:w="146"/>
        <w:gridCol w:w="146"/>
        <w:gridCol w:w="196"/>
        <w:gridCol w:w="601"/>
        <w:gridCol w:w="59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9425" w:type="dxa"/>
        <w:jc w:val="left"/>
        <w:tblInd w:w="0" w:type="dxa"/>
        <w:tblLayout w:type="fixed"/>
        <w:tblCellMar>
          <w:top w:w="28" w:type="dxa"/>
          <w:left w:w="28" w:type="dxa"/>
          <w:bottom w:w="28" w:type="dxa"/>
          <w:right w:w="28" w:type="dxa"/>
        </w:tblCellMar>
      </w:tblPr>
      <w:tblGrid>
        <w:gridCol w:w="4971"/>
        <w:gridCol w:w="146"/>
        <w:gridCol w:w="196"/>
        <w:gridCol w:w="511"/>
        <w:gridCol w:w="146"/>
        <w:gridCol w:w="146"/>
        <w:gridCol w:w="196"/>
        <w:gridCol w:w="511"/>
        <w:gridCol w:w="146"/>
        <w:gridCol w:w="146"/>
        <w:gridCol w:w="228"/>
        <w:gridCol w:w="402"/>
        <w:gridCol w:w="146"/>
        <w:gridCol w:w="146"/>
        <w:gridCol w:w="196"/>
        <w:gridCol w:w="601"/>
        <w:gridCol w:w="591"/>
      </w:tblGrid>
      <w:tr>
        <w:trPr/>
        <w:tc>
          <w:tcPr>
            <w:tcW w:w="4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sponsored entities - mortgage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sponsored entities - 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Money market funds are highly liquid investments which are actively traded. The pricing information on the Company’s money market funds is based on quoted prices in active markets for identical securities. This approach results in the classification of these securities as Level 1 of the fair value hierarchy.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Commercial paper and U.S. Government sponsored entities - mortgage-backed are classified as Level 2 within the hierarchy and are carried at fair value with unrealized gains and losses included in other comprehensive loss as a component of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equity (deficit) until realized. The Company estimates the fair values of these securities by taking into consideration valuations obtained from third-party pricing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there were no transfers between Level 1, Level 2 and Level 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information about the Company’s financial liabilities measured at fair value on a recurring basis and indicates the level of the fair value hierarchy utilized to determine such fair values (in thousands).</w:t>
      </w:r>
    </w:p>
    <w:p>
      <w:pPr>
        <w:pStyle w:val="TextBody"/>
        <w:bidi w:val="0"/>
        <w:spacing w:before="120" w:after="283"/>
        <w:jc w:val="both"/>
        <w:rPr/>
      </w:pPr>
      <w:r>
        <w:rPr/>
        <w:t> </w:t>
      </w:r>
    </w:p>
    <w:tbl>
      <w:tblPr>
        <w:tblW w:w="7613" w:type="dxa"/>
        <w:jc w:val="left"/>
        <w:tblInd w:w="0" w:type="dxa"/>
        <w:tblLayout w:type="fixed"/>
        <w:tblCellMar>
          <w:top w:w="28" w:type="dxa"/>
          <w:left w:w="28" w:type="dxa"/>
          <w:bottom w:w="28" w:type="dxa"/>
          <w:right w:w="28" w:type="dxa"/>
        </w:tblCellMar>
      </w:tblPr>
      <w:tblGrid>
        <w:gridCol w:w="3146"/>
        <w:gridCol w:w="146"/>
        <w:gridCol w:w="239"/>
        <w:gridCol w:w="391"/>
        <w:gridCol w:w="146"/>
        <w:gridCol w:w="146"/>
        <w:gridCol w:w="239"/>
        <w:gridCol w:w="391"/>
        <w:gridCol w:w="146"/>
        <w:gridCol w:w="146"/>
        <w:gridCol w:w="196"/>
        <w:gridCol w:w="601"/>
        <w:gridCol w:w="146"/>
        <w:gridCol w:w="146"/>
        <w:gridCol w:w="196"/>
        <w:gridCol w:w="601"/>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7613" w:type="dxa"/>
        <w:jc w:val="left"/>
        <w:tblInd w:w="0" w:type="dxa"/>
        <w:tblLayout w:type="fixed"/>
        <w:tblCellMar>
          <w:top w:w="28" w:type="dxa"/>
          <w:left w:w="28" w:type="dxa"/>
          <w:bottom w:w="28" w:type="dxa"/>
          <w:right w:w="28" w:type="dxa"/>
        </w:tblCellMar>
      </w:tblPr>
      <w:tblGrid>
        <w:gridCol w:w="3146"/>
        <w:gridCol w:w="146"/>
        <w:gridCol w:w="239"/>
        <w:gridCol w:w="391"/>
        <w:gridCol w:w="146"/>
        <w:gridCol w:w="146"/>
        <w:gridCol w:w="239"/>
        <w:gridCol w:w="391"/>
        <w:gridCol w:w="146"/>
        <w:gridCol w:w="146"/>
        <w:gridCol w:w="196"/>
        <w:gridCol w:w="601"/>
        <w:gridCol w:w="146"/>
        <w:gridCol w:w="146"/>
        <w:gridCol w:w="196"/>
        <w:gridCol w:w="601"/>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provides a reconciliation for all liabilities measured at fair value using Level 3 inputs for the six months ended June 30, 2026 and 2025 (in thousands):</w:t>
      </w:r>
    </w:p>
    <w:p>
      <w:pPr>
        <w:pStyle w:val="TextBody"/>
        <w:bidi w:val="0"/>
        <w:spacing w:before="120" w:after="283"/>
        <w:jc w:val="both"/>
        <w:rPr/>
      </w:pPr>
      <w:r>
        <w:rPr/>
        <w:t> </w:t>
      </w:r>
    </w:p>
    <w:tbl>
      <w:tblPr>
        <w:tblW w:w="4825" w:type="dxa"/>
        <w:jc w:val="left"/>
        <w:tblInd w:w="0" w:type="dxa"/>
        <w:tblLayout w:type="fixed"/>
        <w:tblCellMar>
          <w:top w:w="28" w:type="dxa"/>
          <w:left w:w="28" w:type="dxa"/>
          <w:bottom w:w="28" w:type="dxa"/>
          <w:right w:w="28" w:type="dxa"/>
        </w:tblCellMar>
      </w:tblPr>
      <w:tblGrid>
        <w:gridCol w:w="3501"/>
        <w:gridCol w:w="146"/>
        <w:gridCol w:w="196"/>
        <w:gridCol w:w="571"/>
        <w:gridCol w:w="41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Promissory Note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Tranche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Lender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Tranche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Lender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Promissory Note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Lender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Tranche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Lender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Tranche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Lender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information as to cost, unrealized gains and losses and fair value determination of the Company’s financial assets measured at fair value on a recurring basis (in thousands):</w:t>
      </w:r>
    </w:p>
    <w:p>
      <w:pPr>
        <w:pStyle w:val="TextBody"/>
        <w:bidi w:val="0"/>
        <w:jc w:val="both"/>
        <w:rPr/>
      </w:pPr>
      <w:r>
        <w:rPr/>
        <w:t> </w:t>
      </w:r>
    </w:p>
    <w:tbl>
      <w:tblPr>
        <w:tblW w:w="8097" w:type="dxa"/>
        <w:jc w:val="left"/>
        <w:tblInd w:w="0" w:type="dxa"/>
        <w:tblLayout w:type="fixed"/>
        <w:tblCellMar>
          <w:top w:w="28" w:type="dxa"/>
          <w:left w:w="28" w:type="dxa"/>
          <w:bottom w:w="28" w:type="dxa"/>
          <w:right w:w="28" w:type="dxa"/>
        </w:tblCellMar>
      </w:tblPr>
      <w:tblGrid>
        <w:gridCol w:w="2936"/>
        <w:gridCol w:w="146"/>
        <w:gridCol w:w="214"/>
        <w:gridCol w:w="657"/>
        <w:gridCol w:w="146"/>
        <w:gridCol w:w="146"/>
        <w:gridCol w:w="320"/>
        <w:gridCol w:w="566"/>
        <w:gridCol w:w="146"/>
        <w:gridCol w:w="146"/>
        <w:gridCol w:w="384"/>
        <w:gridCol w:w="502"/>
        <w:gridCol w:w="166"/>
        <w:gridCol w:w="146"/>
        <w:gridCol w:w="217"/>
        <w:gridCol w:w="668"/>
        <w:gridCol w:w="59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contractual maturities of all available-for-sale investments were less than 12 months. The Company periodically reviews the available-for-sale investments for other-than-temporary impairment loss. The Company had no short-term investments as of June 30, 2026.</w:t>
      </w:r>
    </w:p>
    <w:p>
      <w:pPr>
        <w:pStyle w:val="TextBody"/>
        <w:bidi w:val="0"/>
        <w:jc w:val="both"/>
        <w:rPr/>
      </w:pPr>
      <w:r>
        <w:rPr/>
        <w:t> </w:t>
      </w:r>
    </w:p>
    <w:tbl>
      <w:tblPr>
        <w:tblW w:w="10112" w:type="dxa"/>
        <w:jc w:val="left"/>
        <w:tblInd w:w="0" w:type="dxa"/>
        <w:tblLayout w:type="fixed"/>
        <w:tblCellMar>
          <w:top w:w="28" w:type="dxa"/>
          <w:left w:w="28" w:type="dxa"/>
          <w:bottom w:w="28" w:type="dxa"/>
          <w:right w:w="28" w:type="dxa"/>
        </w:tblCellMar>
      </w:tblPr>
      <w:tblGrid>
        <w:gridCol w:w="4971"/>
        <w:gridCol w:w="146"/>
        <w:gridCol w:w="214"/>
        <w:gridCol w:w="657"/>
        <w:gridCol w:w="146"/>
        <w:gridCol w:w="146"/>
        <w:gridCol w:w="320"/>
        <w:gridCol w:w="566"/>
        <w:gridCol w:w="146"/>
        <w:gridCol w:w="146"/>
        <w:gridCol w:w="320"/>
        <w:gridCol w:w="566"/>
        <w:gridCol w:w="146"/>
        <w:gridCol w:w="146"/>
        <w:gridCol w:w="217"/>
        <w:gridCol w:w="668"/>
        <w:gridCol w:w="591"/>
      </w:tblGrid>
      <w:tr>
        <w:trPr/>
        <w:tc>
          <w:tcPr>
            <w:tcW w:w="4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sponsored entities - 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sponsored entities - mortgage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contractual maturities of all available-for-sale investments were less than 12 months. The Company periodically reviews the available-for-sale for other-than-temporary impairment loss. The Company had no short-term investments in unrealized gain positions as of December 31, 2025.</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consisted of the following (in thousands):</w:t>
      </w:r>
    </w:p>
    <w:p>
      <w:pPr>
        <w:pStyle w:val="TextBody"/>
        <w:bidi w:val="0"/>
        <w:spacing w:before="120" w:after="283"/>
        <w:jc w:val="both"/>
        <w:rPr/>
      </w:pPr>
      <w:r>
        <w:rPr/>
        <w:t> </w:t>
      </w:r>
    </w:p>
    <w:tbl>
      <w:tblPr>
        <w:tblW w:w="6472" w:type="dxa"/>
        <w:jc w:val="left"/>
        <w:tblInd w:w="0" w:type="dxa"/>
        <w:tblLayout w:type="fixed"/>
        <w:tblCellMar>
          <w:top w:w="28" w:type="dxa"/>
          <w:left w:w="28" w:type="dxa"/>
          <w:bottom w:w="28" w:type="dxa"/>
          <w:right w:w="28" w:type="dxa"/>
        </w:tblCellMar>
      </w:tblPr>
      <w:tblGrid>
        <w:gridCol w:w="3766"/>
        <w:gridCol w:w="146"/>
        <w:gridCol w:w="211"/>
        <w:gridCol w:w="571"/>
        <w:gridCol w:w="146"/>
        <w:gridCol w:w="146"/>
        <w:gridCol w:w="364"/>
        <w:gridCol w:w="73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franchise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Promissory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(the “Closing Date”), the Company executed the Loan Agreement with the Lender and Collateral Agent, for growth capital loans in an aggregate principal amount of up to $32,500,000 (the “Loan”), with (i) $10,000,000 funded on the Closing Date (“Tranche 1”), (ii) up to $7,500,000 to be made available to the Company between September 1, 2025 and March 31, 2026, which was subject to, among other things, the Company’s achievement of certain milestones with respect to certain of its ongoing clinical trials (“Tranche 2”) and (iii) up to $15,000,000 to be made available to the Company between October 1, 2025 and March 31, 2026, which was subject to, among other things, (a) the Company’s achievement of additional milestones with respect to certain of its ongoing clinical trials and (b) the mutual written agreement of the Company and the Lender (upon its investment committee approval). At the closing date, up to $1,000,000 of the principal outstanding may be converted into shares of the Company’s unrestricted, freely tradable common stock at a price equal to 20% premium to the exercise price of the warrants (see Note 6 for further description of the warrants) at the Lender’s option.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pause in enrollment in the KOURAGE trial, Tranche 2 and Tranche 3 are no longer available to the Company. As for the initial term of the Loan before the loan amendment described below, the Company will make interest only payments until the 18 month anniversary of the Closing Date. The Loan is evidenced by a promissory note and bears interest at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annual rate equal to the greater of (a) the sum of 5.00% plus the prime rate as reported in The Wall Street Journal and (b) 12.75%. The Loan is secured by a lien upon and security interest in all of the Company’s assets, including intellectual property, subject to agreed exceptions. Before the loan amendment described below, the maturity date of the Loan was September 1, 2028 (the “Maturity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determined the promissory note was eligible for the fair value election, and the Company elected to account for the promissory note at fair value. The Company allocated the gross proceeds on a relative fair value basis. The initial fair value of the promissory notes was $8.9 million. The valuation methodology was a scenario-based analysis utilizing a discounted cash flow framework to value the “straight debt” portion of the promissory note and Black-Scholes to value the conversion feature associated with the promissory note. Major inputs/assumptions associated with the fair value of the promissory note include: a) Calibrated Discount Rate of 13.7%, b) Scenario Weighting for Repayment through Maturity of 80%, c) Scenario Weighting for Repayment through Milestone of 20%, d) Timing of Milestone of 12/31/25, and e) Volatility used in Black-Scholes to value conversion feature of 100%. The fair value of the Lender Warrants was estimated using Black-Scholes (see Note 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First Amendment to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23, 2026, the Company entered into a First Amendment to the Loan and Security Agreement and related loan documents with Avenue Venture Opportunities Fund II, L.P. (the "Lender") and Avenue Capital Management II, L.P., as administrative agent and collateral agent. The amendment modified the terms of the Company's existing $10.0 million term loan.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amendment, (a) the interest-only period was extended from September 30, 2026 to September 30, 2027, with principal amortization beginning on October 1, 2027, (b) the maturity date was extended from September 1, 2028 to September 1, 2029, (c) the final payment fee payable upon repayment or maturity was increased by $200,000, (d) the Lender's existing right to convert up to $1.0 million of outstanding principal into common stock was replaced with the right, at the Lender's option, to convert up to an aggregate of $3.0 million of outstanding principal into either shares of the Company's common stock or pre-funded warrants, at a conversion price of $1.00 per share (or $0.9999 per underlying share for pre-funded warrants, reflecting the $0.0001 exercise price), (e) and the Company obtained a conditional right to require the Lender to convert outstanding principal into common stock or pre-funded warrants, subject to specified trading-price, trading-volume and beneficial ownership limitations.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future promissory note payments are as follows (in thousands):</w:t>
      </w:r>
    </w:p>
    <w:p>
      <w:pPr>
        <w:pStyle w:val="TextBody"/>
        <w:bidi w:val="0"/>
        <w:spacing w:before="120" w:after="283"/>
        <w:jc w:val="both"/>
        <w:rPr/>
      </w:pPr>
      <w:r>
        <w:rPr/>
        <w:t> </w:t>
      </w:r>
    </w:p>
    <w:tbl>
      <w:tblPr>
        <w:tblW w:w="4445" w:type="dxa"/>
        <w:jc w:val="left"/>
        <w:tblInd w:w="0" w:type="dxa"/>
        <w:tblLayout w:type="fixed"/>
        <w:tblCellMar>
          <w:top w:w="28" w:type="dxa"/>
          <w:left w:w="28" w:type="dxa"/>
          <w:bottom w:w="28" w:type="dxa"/>
          <w:right w:w="28" w:type="dxa"/>
        </w:tblCellMar>
      </w:tblPr>
      <w:tblGrid>
        <w:gridCol w:w="3021"/>
        <w:gridCol w:w="146"/>
        <w:gridCol w:w="211"/>
        <w:gridCol w:w="676"/>
        <w:gridCol w:w="391"/>
      </w:tblGrid>
      <w:tr>
        <w:trPr/>
        <w:tc>
          <w:tcPr>
            <w:tcW w:w="3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Future promissory note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amendment, the Company also (a) amended the existing lender warrant issued on February 28, 2025 by reducing its exercise price from $2.32 per share to $1.00 per share and adding a beneficial ownership limitation, (b) and issued to the Lender a new warrant to purchase 1,000,000 shares of the Company's common stock at an exercise price of $1.00 per share, exercisable through June 23, 2031, with customary anti-dilution provisions and cashless exercise features.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conversion option, put option, amended warrant and new warrant are recorded at fair value because of the existing fair value accounting for the loan and lender warrants, however, the June 23 amendment changed the valuation assumptions and the instruments were remeasured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balance sheet date of June 30, 2026, the value of the promissory note was $9.2 million, with an increase in fair value of $2.5 million and a decrease in fair value of $0.5 million for the three and six months ended June 30, 2026, respectively, being recorded in the unaudited condensed consolidated statements of operations in other income/(expense).</w:t>
      </w:r>
    </w:p>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Common Stock and Stockholders' Equity (Deficit)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Authorized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current Amended and Restated Certificate of Incorporation authorizes 500,000,000 shares of common stock, par value $0.0001 per share, and 10,000,000 shares of preferred stock, par value $0.0001 per share.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19, 2024, the Company entered into a Securities Purchase Agreement (the “Purchase Agreement”) with certain accredited investors, in which the Company sold the following securities to the accredited investors in a private placement transaction (the “2024 Private Placement”): (i) an aggregate of 4,985,610 shares of common stock; (ii) to certain investors, in lieu of shares of common stock, pre-funded warrants (the “Pre-Funded Warrants”) to purchase an aggregate of 306,506 shares of common stock and exercisable at any time; (iii) Tranche A Common Warrants (the “Tranche A Common Warrants”) to purchase an aggregate of up to 2,646,058 shares of common stock (or Pre-Funded Warrants in lieu thereof and, in such case, shares of common stock issuable upon exercise of such Pre-Funded Warrants); and (iv) Tranche B Common Warrants (the “Tranche 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Common Warrants” and together with the Tranche A Common Warrants, the “Common Warrants”) to purchase an aggregate of up to 2,646,058 shares of common stock (or Pre-Funded Warrants in lieu thereof and, in such case, shares of common stock issuable upon exercise of such Pre-Funded Warrants). At date of issuance, the fair value of the common stock was $8.5 million using the relative fair value method and is included in equity at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issued placement agent warrants (“Placement Agent Warrants”) to purchase 67,908 shares of common stock at the initial closing of the 2024 Private Placement and 7,839 shares of common stock at the second closing of the 2024 Private Placement, at an exercise price of $0.0001 per share. Each Placement Agent Warrant was accompanied by one Tranche A Common Warrant to purchase one half of a share of common stock and one Tranche B Warrant to purchase one half of a share of common stock, for an aggregate of 75,746 Common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closing of the 2024 Private Placement occurred on January 23, 2024 and the second closing occurred on February 5, 2024. Gross proceeds from the transaction were $20.4 million with net proceeds of approximately $19.0 million after deducting $1.4 million in commissions and other transaction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25, 2026, the Company completed a private placement (the "PIPE Financing") pursuant to a Securities Purchase Agreement dated June 23, 2026 with certain new and existing institutional and accredited investors. Gross proceeds from the financing were approximately $15.0 million before deducting placement agent fees and other offering expenses. At the closing of the PIPE Financing, the Company issued an aggregate of 18,673,429 units at a purchase price of $0.8033 per unit (or $0.8032 per unit for units including a pre-funded warrant). Each unit consisted of (a) one share of the Company's common stock or, at the election of the investor, one pre-funded warrant to purchase one share of common stock, (b) and a contractual right to receive one Series A and Series B warrant upon receipt of the required stockholder approval under Nasdaq Listing Rule 5635. The Company issued 14,938,370 shares of common stock and 3,735,059 pre-funded warrants at the closing of the financing. The pre-funded warrants have an exercise price of $0.0001 per share, are immediately exercisable, do not expire and are exercisable for cash or, under certain circumstances, on a cashless basis. The pre-funded warrants contain customary anti-dilution adjustments for stock splits, stock dividends and similar recapitalization events and include beneficial ownership limitations that prohibit exercise if the holder would beneficially own more than a specified percentage of the Company's outstanding common stock, unless such limitation is waived in accordance with the terms of the warrants.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A and Series B warrants were not issued at closing. Under the Securities Purchase Agreement, investors received contractual rights to receive those warrants only upon receipt of stockholder approval required under applicable Nasdaq rules. If stockholder approval is obtained, the Company will issue, (a) Series A warrants to purchase up to 18,673,429 shares of common stock (or pre-funded warrants in lieu thereof), with an exercise price of $0.8033 per share, (b) and Series B warrants to purchase up to 18,673,429 shares of common stock (or pre-funded warrants in lieu thereof), with an exercise price of $1.00 per share. The Series A and Series B warrants will become exercisable only after issuance following stockholder approval and will be subject to customary anti-dilution adjustments, beneficial ownership limitations and other customary terms contained in the respective warrant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the pre-funded warrants and the contractual rights to receive the Series A and Series B warrants under ASC 480 and ASC 815-40. Management concluded that the pre-funded warrants and the rights to receive the Series A and Series B warrants meet the requirements for equity classification. Accordingly, the proceeds from the financing were allocated between the common stock, pre-funded warrants and the rights to receive the Series A and Series B warrants on a relative fair value basis. The allocated amounts were recorded within additional paid-in capital upon issuance. As of June 30, 2026, stockholder approval had not been obtained and, accordingly, the Series A and Series B warrants had not been issued.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Underwritten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the Company closed an underwritten public offering of 2,720,000 shares of its common stock at a price to the public of $3.75 per share (the “2024 Follow-On”). The gross proceeds from the offering, before deducting underwriting discounts and commissions and offering expenses, were $10.2 million. In addition, the Company granted the underwriters a 30-day option to purchase up to an additional 408,000 shares of its common stock at the public offering price, less underwriting discounts and commissions, which option expired unexercised.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Statement and At the Market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2023, the Company filed a shelf registration statement on Form S-3 (the “Shelf Registration Statement”). The Shelf Registration Statement permits the offering, issuance and sale of common stock, preferred stock, debt securities and warrants having an aggregate offering price of up to $100.0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Shelf Registration Statement contains two prospectuses, a base prospectus and an at-the-market offering prospectus, as supplemented on March 29, 2024 (as supplemented, the “Original Prospectus Supplement”), that covered the offering, issuance and sale of up to $17.3 million of common stock pursuant to an at-the-market offering agreement (“ATM Agreement”) with H.C Wainwright &amp; Co., LLC (“Wainwright”), acting as sales agent (“ATM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2024 Follow-on, on October 30, 2024, the Company suspended sales of common stock under the ATM Facility pursuant to the Original Prospectus Supplement, and until December 20, 2024, did not offer for sale any shares of common stock. The Company filed a prospectus supplement (the “2024 Prospectus Supplement”) to the Shelf Registration Statement with the Securities and Exchange Commission (“SEC”) on December 20, 2024 providing for the sale of shares of common stock under the ATM Facility having an aggregate gross sales price of up to $4.45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intends to use the net proceeds from the ATM Facility for general corporate purposes, which may include research and development expenses, clinical trial expenses, capital expenditures and working capital. The ATM Facility will terminate upon the earlier of (i) the sale of all of the shares of our common stock provided for in the at the market offering prospectus or (ii) termination of the ATM Agreement as permitted therein. The ATM Agreement may be terminated at any time by either party upon written notice.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filed a prospectus supplement (the “2025 Prospectus Supplement”) to the Shelf Registration Statement with the SEC on November 6, 2025 providing for the sale of shares of common stock under the ATM Facility having an aggregate gross sales price of up to $9.7 million. During the three and six months ended June 30, 2026, there were 49,115 shares sold under the ATM Facility for net proceeds of $0.03 million, after deducting negligible commissions and settlement expenses. As of June 30, 2026, the Company has sold 2,080,943 shares of common stock for net proceeds of approximately $5.8 million, after deducting $294,000 of commissions and settlement expenses paid under the ATM Facility. As of June 30, 2026, approximately $6.2 million remained available under the ATM Facility for the offer and sale of shares of common stock pursuant to the 2025 Prospectus Supplement.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3, 2026, the Company filed a shelf registration statement on Form S-3 (the “2026 Shelf Registration Statement”). The 2026 Shelf Registration Statement permits the offering, issuance and sale of common stock, preferred stock, debt securities and warrants having an aggregate offering price of up to $125.0 million in one or more offerings and in any combination of the foregoing.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2022, Private CalciMedica granted warrants to certain officers and directors to purchase 496,970 shares of common stock. In conjunction with the Merger, the warrants converted to 14,313 warrants of the Company at an exercise price of $10.42. The warrants have a 10-year term and vest ratably over 12 and 48 months. At the date of issuance, the fair value of the warrants collectively was $125,000 and was determined utilizing Black-Scholes and will be recognized as general and administrative expense over the vesting periods. Assumptions used in the valuation were as follows: expected term of ten years, risk free rate of 4.10%, volatility of 82% and a dividend yield of zero. The warrants are classified as equity, and the Company expensed zero to general and administrative expense for the three months ended June 30, 2026 and 2025 and zero and $1,000 to general and administrative expense for the six months ended June 30,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2024 Private Placement, the Company issued Tranche A Common Warrants, Tranche B Common Warrants and Pre-Funded Warrants. Tranche A Common Warrants were exercisable until July 29, 2024. The Tranche B Common Warrants were exercisable immediately upon issuance and will expire upon the earlier of (i) 5:00 p.m. (New York City time) on December 31, 2026 and (ii) 30 days following the Company's public disclosure of topline results from a Phase 2 clinical trial in patients with acute kidney injury. The purchase price per share and accompanying Common Warrants was $3.827 (or $4.3915 for directors, employees or consultants of the Company participating in the 2024 Private Placement) (or $3.8269 per Pre-Funded Warrant and accompanying Common Warrants, which represented the price of $3.827 per share and accompanying Common Warrants minus the $0.0001 per share exercise price of each such Pre-Funded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Tranche A Common Warrants had a strike price of $5.36 per share, were not deemed equity and were classified as a liability in the Company’s unaudited condensed consolidated balance sheets. At the date of issuance, the fair value of the Tranche A Common Warrants was $4.1 million utilizing Black-Scholes with the following assumptions: expected term of 0.94 years, risk-free interest rate of 4.9%, volatility of 100% and a dividend yield of zero. As of the balance sheet date of June 30, 2026, the value of the Tranche A Common Warrants was zero as the Tranche A Common Warrants expired on July 27,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Tranche B Common Warrants have a strike price of $7.15 per share, are not deemed equity and are classified as a liability in the Company’s unaudited condensed consolidated balance sheets. At the date of issuance, the fair value of the Tranche B Common Warrants was $7.1 million utilizing Black-Scholes with the following assumptions: expected term of 1.69 years, risk-free interest rate of 4.5%, volatility of 100% and a dividend yield of zero. As of the balance sheet date of June 30, 2026, the value of the Tranche B Common Warrants was zero, with the change in fair value of zero and $0.2 million for the three months ended June 30, 2026 and 2025, respectively, and $4.4 million and $1.4 million for the six months ended June 30, 2026 and 2025, respectively, recorded in the unaudited condensed consolidated statements of operations in 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Pre-Funded Warrants have a strike price of $0.0001 per share, are deemed equity and included in the equity section of the Company’s unaudited condensed consolidated balance sheets. At date of issuance, the fair value of the Pre-Funded Warrants was $0.5 million using the relative fair value method and were exercised on January 28,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Placement Agent Warrants have a strike price of $0.0001 per share, are deemed equity and included in the equity section of the Company’s unaudited condensed consolidated balance sheets. At date of issuance, the fair value of the Placement Agent Warrants was $0.1 million using the relative fair value method and is included in equity at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2024, the Company granted a warrant to a consulting firm affiliated with its former interim chief financial officer to purchase 10,000 shares of common stock (“Common Stock Warrant”). At the date of issuance, the fair value of the warrant was $20,000 and was determined utilizing Black-Scholes and will be recognized as general and administrative expense over the vesting periods. Assumptions used in the valuation were as follows: expected term of twelve months, risk free rate of 4.42%, volatility of 89% and a dividend yield of zero. The warrant is classified as equity, and the Company expensed zero and $2,000 for the three months ended June 30, 2026 and 2025, respectively, and zero and $7,000 for the six months ended June 30, 2026 and 2025, respectively, to general and administrative expense in the unaudited condensed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Loan, pursuant to the funding of Tranche 1 on the Closing Date, the Company issued to the Lender a warrant to purchase 641,163 shares of common stock of the Company (the “Warrant”) at an exercise price per share equal to $2.32 (the “Stock Purchase Price”) and are classified as a liability in the Company’s unaudited condensed consolidated balance sheets. At the date of issuance, the fair value of the Warrant was $1.1 million and was determined utilizing Black-Scholes with the following assumptions: expected term of 5.0 years, risk-free interest rate of 3.9%, volatility of 110% and a dividend yield of zero. The Warrant is exercisable until February 28, 2030 (the “Expiration Date”) and upon a change of control, the Lender would be entitled to receive the shares of common stock underlying the Warrant without payment of the exercise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First Amendment to the Loan Agreement, the Company (a) amended the existing lender warrant issued on February 28, 2025 by reducing its exercise price from $2.32 per share to $1.00 per share and adding a beneficial ownership limitation, (b) and issued to the Lender a new warrant to purchase 1,000,000 shares of the Company's common stock at an exercise price of $1.00 per share, exercisable through June 23, 2031, with customary anti-dilution provisions and cashless exercise features.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balance sheet date June 30, 2026, the value of the Warrants was $1.3 million, with an increase in fair value of $1.1 million and a decrease in fair value of $0.2 million for the three months ended June 30, 2026 and 2025, respectively, and a decrease in fair value of $2.3 million and $0.4 million for the six months ended June 30, 2026 and 2025, respectively, being recorded in the unaudited condensed consolidated statements of operations in other income (expense).</w:t>
      </w:r>
    </w:p>
    <w:p>
      <w:pPr>
        <w:pStyle w:val="TextBody"/>
        <w:bidi w:val="0"/>
        <w:spacing w:before="120" w:after="283"/>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 Stock-based Compensation</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2023 Equity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its 2023 Equity Incentive Plan (the “2023 Plan”), which became effective at the closing of the Merger and replaced the Company’s 2020 Equity Incentive Plan (“2020 Plan”) on the effective date of the Merger. As of the effective date of the Merger, there were 1,000,000 shares of the Company’s common stock available for grant under the 2023 Plan. In addition, the share reserve is subject to annual increases each January 1 for the first ten years following approval of the 2023 Plan of up to 5% of shares of the Company’s common stock outstanding (or a lesser number determined by the Company’s board of directors). Effective January 1, 2024, the shares reserved for issuance under the 2023 Plan was increased by 287,725 shares. Effective March 28, 2024, the Board approved an increase of 1,500,000 shares of the Company’s common stock reserved under the 2023 Plan, which was subsequently approved by the stockholders of the Company on August 27, 2024. Effective on January 1, 2025, the shares reserved for issuance under the 2023 Plan was increased by 674,095 shares. On April 23, 2025 the Board approved an increase of 600,000 shares of the Company’s common stock reserved for issuance under the 2023 Plan, which was subsequently approved by the stockholders of the Company on June 24, 2025. Effective on January 1, 2026, the shares reserved for issuance under the 2023 Plan was increased by 771,870 shares. As of June 30, 2026, 5,543 options have been returned to the 2023 Plan and 79,935 shares of the Company’s common stock were available for grant under the 2023 Plan.</w:t>
      </w:r>
    </w:p>
    <w:p>
      <w:pPr>
        <w:pStyle w:val="TextBody"/>
        <w:bidi w:val="0"/>
        <w:spacing w:before="120" w:after="283"/>
        <w:jc w:val="left"/>
        <w:rPr>
          <w:rFonts w:ascii="Times New Roman" w:hAnsi="Times New Roman"/>
          <w:sz w:val="20"/>
        </w:rPr>
      </w:pPr>
      <w:r>
        <w:rPr>
          <w:rFonts w:ascii="Times New Roman" w:hAnsi="Times New Roman"/>
          <w:b/>
          <w:i/>
          <w:color w:val="000000"/>
          <w:sz w:val="20"/>
        </w:rPr>
        <w:t>2023 Employee Stock Purchase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2023 Employee Stock Purchase Plan (the “2023 ESPP”) which became effective at the closing of the Merger. As of the effective time of the Merger, there were 65,000 shares of the Company’s common stock reserved for issuance under the 2023 ESPP. In addition, the share reserve is subject to annual increases each January 1 for the first ten years following approval of the 2023 ESPP of the lesser of (i) 1% of the total number of shares of the Company’s common stock outstanding on December 31 of the preceding calendar year, (ii) 195,000 shares of the Company’s common stock, or (iii) such lesser number of shares of the Company’s common stock as determined by the Company’s board of directors. An annual increase of 134,819 and 154,374 shares of the Company’s common stock was automatically added to the share reserve under the 2023 ESPP on January 1, 2025 and 2026, respectively. As of June 30, 2026, 411,738 shares of the Company’s common stock were available for grant under the 2023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no shares have been issued under the 2023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stock option transactions for the 2023 Plan:</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967"/>
        <w:gridCol w:w="146"/>
        <w:gridCol w:w="147"/>
        <w:gridCol w:w="941"/>
        <w:gridCol w:w="166"/>
        <w:gridCol w:w="146"/>
        <w:gridCol w:w="211"/>
        <w:gridCol w:w="340"/>
        <w:gridCol w:w="1094"/>
        <w:gridCol w:w="146"/>
        <w:gridCol w:w="146"/>
        <w:gridCol w:w="519"/>
        <w:gridCol w:w="1661"/>
        <w:gridCol w:w="146"/>
        <w:gridCol w:w="146"/>
        <w:gridCol w:w="211"/>
        <w:gridCol w:w="296"/>
        <w:gridCol w:w="1380"/>
        <w:gridCol w:w="396"/>
      </w:tblGrid>
      <w:tr>
        <w:trPr/>
        <w:tc>
          <w:tcPr>
            <w:tcW w:w="1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options exercised and 732,500 granted during the six months ended June 30, 2026. The weighted-average fair value of options granted during the six months ended June 30, 2026 and 2025 was $0.54 and $1.31, respectively. The total fair value of shares vested was $1.1 million and $1.6 million for the six months ended June 30,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stock-based compensation not yet recognized is $3.9 million, which the Company expects to recognize over an estimated weighted-average term of 2.0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are the underlying assumptions in Black-Scholes to determine the fair value of the stock option grants for the six months ended June 30, 2026 and 2025:</w:t>
      </w:r>
    </w:p>
    <w:p>
      <w:pPr>
        <w:pStyle w:val="TextBody"/>
        <w:bidi w:val="0"/>
        <w:spacing w:before="120" w:after="283"/>
        <w:jc w:val="both"/>
        <w:rPr/>
      </w:pPr>
      <w:r>
        <w:rPr/>
        <w:t> </w:t>
      </w:r>
    </w:p>
    <w:tbl>
      <w:tblPr>
        <w:tblW w:w="3822" w:type="dxa"/>
        <w:jc w:val="left"/>
        <w:tblInd w:w="0" w:type="dxa"/>
        <w:tblLayout w:type="fixed"/>
        <w:tblCellMar>
          <w:top w:w="28" w:type="dxa"/>
          <w:left w:w="28" w:type="dxa"/>
          <w:bottom w:w="28" w:type="dxa"/>
          <w:right w:w="28" w:type="dxa"/>
        </w:tblCellMar>
      </w:tblPr>
      <w:tblGrid>
        <w:gridCol w:w="2131"/>
        <w:gridCol w:w="146"/>
        <w:gridCol w:w="671"/>
        <w:gridCol w:w="155"/>
        <w:gridCol w:w="719"/>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3.56%</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3.49%</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5.88</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5.87</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RSUs is determined on the date of grant based on the market price of the Company’s common stock on that date. The aggregate grant date fair value of RSUs vested during the six months ended June 30, 2026 was $17,500.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RSU activity for the 2023 Plan: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8"/>
        <w:gridCol w:w="146"/>
        <w:gridCol w:w="182"/>
        <w:gridCol w:w="845"/>
        <w:gridCol w:w="166"/>
        <w:gridCol w:w="146"/>
        <w:gridCol w:w="211"/>
        <w:gridCol w:w="420"/>
        <w:gridCol w:w="1352"/>
        <w:gridCol w:w="146"/>
        <w:gridCol w:w="551"/>
        <w:gridCol w:w="1763"/>
        <w:gridCol w:w="146"/>
        <w:gridCol w:w="211"/>
        <w:gridCol w:w="454"/>
        <w:gridCol w:w="1313"/>
        <w:gridCol w:w="395"/>
      </w:tblGrid>
      <w:tr>
        <w:trPr/>
        <w:tc>
          <w:tcPr>
            <w:tcW w:w="1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recognized for options, RSUs and Common Stock Warrants granted was as follows (in thousands):</w:t>
      </w:r>
    </w:p>
    <w:p>
      <w:pPr>
        <w:pStyle w:val="TextBody"/>
        <w:bidi w:val="0"/>
        <w:spacing w:before="120" w:after="283"/>
        <w:jc w:val="both"/>
        <w:rPr/>
      </w:pPr>
      <w:r>
        <w:rPr/>
        <w:t> </w:t>
      </w:r>
    </w:p>
    <w:tbl>
      <w:tblPr>
        <w:tblW w:w="8811" w:type="dxa"/>
        <w:jc w:val="left"/>
        <w:tblInd w:w="0" w:type="dxa"/>
        <w:tblLayout w:type="fixed"/>
        <w:tblCellMar>
          <w:top w:w="28" w:type="dxa"/>
          <w:left w:w="28" w:type="dxa"/>
          <w:bottom w:w="28" w:type="dxa"/>
          <w:right w:w="28" w:type="dxa"/>
        </w:tblCellMar>
      </w:tblPr>
      <w:tblGrid>
        <w:gridCol w:w="3651"/>
        <w:gridCol w:w="146"/>
        <w:gridCol w:w="280"/>
        <w:gridCol w:w="559"/>
        <w:gridCol w:w="193"/>
        <w:gridCol w:w="193"/>
        <w:gridCol w:w="280"/>
        <w:gridCol w:w="758"/>
        <w:gridCol w:w="146"/>
        <w:gridCol w:w="146"/>
        <w:gridCol w:w="235"/>
        <w:gridCol w:w="637"/>
        <w:gridCol w:w="162"/>
        <w:gridCol w:w="162"/>
        <w:gridCol w:w="235"/>
        <w:gridCol w:w="637"/>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Stock Reserved for Future Issuance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Common stock reserved for future issuance consists of the following at June 30, 2026:</w:t>
      </w:r>
    </w:p>
    <w:p>
      <w:pPr>
        <w:pStyle w:val="TextBody"/>
        <w:bidi w:val="0"/>
        <w:spacing w:before="40" w:after="283"/>
        <w:jc w:val="both"/>
        <w:rPr/>
      </w:pPr>
      <w:r>
        <w:rPr/>
        <w:t> </w:t>
      </w:r>
    </w:p>
    <w:tbl>
      <w:tblPr>
        <w:tblW w:w="5845" w:type="dxa"/>
        <w:jc w:val="left"/>
        <w:tblInd w:w="0" w:type="dxa"/>
        <w:tblLayout w:type="fixed"/>
        <w:tblCellMar>
          <w:top w:w="28" w:type="dxa"/>
          <w:left w:w="28" w:type="dxa"/>
          <w:bottom w:w="28" w:type="dxa"/>
          <w:right w:w="28" w:type="dxa"/>
        </w:tblCellMar>
      </w:tblPr>
      <w:tblGrid>
        <w:gridCol w:w="4126"/>
        <w:gridCol w:w="146"/>
        <w:gridCol w:w="146"/>
        <w:gridCol w:w="1036"/>
        <w:gridCol w:w="3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8,422,337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5,568,584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the 2023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under the 2023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14,507,594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that arise in the ordinary course of its business activities. The Company accrues liabilities for such matters when future expenditures are probable and such expenditures can be reasonably estimated.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historically entered into contracts in the normal course of business with contract development and manufacturing organizations, for the manufacturing process development and the preclinical/clinical supply manufacturing, and our vendors for preclinical research studies and other services or products for operating purposes. These contracts generally provide for termination on notice of 60 to 90 days. As of June 30, 2026, there are three such contracts related to the CMO for the development of Auxora for $0.4 million of associated costs, still in effect for future services, and there were no unpaid cancellation or other related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also, from time to time, a party or subject to various other legal proceedings and claims, either asserted or unasserted, which arise in the ordinary course of business. Some of these proceedings have involved, and may involve in the future, claims that are subject to substantial uncertainties and unascertainable damages.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operating lease for office space in La Jolla, California. In December 2025, the lease was amended and renewed for an additional month-to-month term through March 1, 2026, with an option that was extended for another 12 month term through February 28, 2027, and therefore qualifies for the short-term lease exception. The Company also relocated to smaller premises of approximately 691 square feet with a new monthly rent amount of $4,375. Monthly rent expense of approximately $13,300 was paid for each of the first two months of 2026. Over the next 8 months, we expect cash requirements for our lease obligation to be approximately $35,000.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Rent expense for the three months ended June 30, 2026 and 2025 was $13,000 and $33,000, respectively, and for the six months ended June 30, 2026 and 2025 was $44,000 and $63,000, respectively, which is included in 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11, 2025 Henry McKinnell, a stockholder of the Company (“McKinnell”), filed a complaint (the “Complaint”) against the Company and two members of the Company’s Board of Directors regarding a $1.5 million investment in the Company in connection with the Company’s merger with Graybug. The Complaint was filed in the Superior Court of the State of California for the County of San Diego and alleges that the Company made false representations to McKinnell to induce his investment. McKinnell seeks return of his investment plus interest and attorneys’ fees. The Complaint asserts causes of action for fraud, violation of the California Corporations Code, conspiracy to commit fraud, breach of contract, and breach of the duty of good faith and fair dealing.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cannot predict the outcome of any litigation. The Company intends to vigorously defend against the allegations made in the Complaint.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Employee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2007, Private CalciMedica adopted a defined contribution 401(k) plan for substantially all employees. There were no contributions made by the Company to the 401(k) plan for the three and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did not record a provision or benefit for income taxes during the three and six months ended June 30, 2026 and 2025 due to continuing losses. As of both June 30, 2026 and December 31, 2025, the Company continues to maintain a full valuation allowance against all of its deferred tax assets in light of its history of cumulative net losses.</w:t>
      </w:r>
    </w:p>
    <w:p>
      <w:pPr>
        <w:pStyle w:val="TextBody"/>
        <w:bidi w:val="0"/>
        <w:spacing w:before="120" w:after="283"/>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56"/>
        <w:gridCol w:w="211"/>
        <w:gridCol w:w="146"/>
        <w:gridCol w:w="1036"/>
        <w:gridCol w:w="166"/>
        <w:gridCol w:w="146"/>
        <w:gridCol w:w="211"/>
        <w:gridCol w:w="146"/>
        <w:gridCol w:w="1036"/>
        <w:gridCol w:w="166"/>
        <w:gridCol w:w="146"/>
        <w:gridCol w:w="211"/>
        <w:gridCol w:w="146"/>
        <w:gridCol w:w="1036"/>
        <w:gridCol w:w="166"/>
        <w:gridCol w:w="146"/>
        <w:gridCol w:w="211"/>
        <w:gridCol w:w="196"/>
        <w:gridCol w:w="1036"/>
        <w:gridCol w:w="591"/>
      </w:tblGrid>
      <w:tr>
        <w:trPr/>
        <w:tc>
          <w:tcPr>
            <w:tcW w:w="3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16,929,088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13,742,942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pre-funded warrants outstanding, 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placement agent warrants outstanding,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lender warrants outstanding, basic and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number of shares used to calculate basic and diluted net loss per share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14,995,404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14,560,900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loss per share due to their anti-dilutive effect: </w:t>
      </w:r>
    </w:p>
    <w:p>
      <w:pPr>
        <w:pStyle w:val="TextBody"/>
        <w:bidi w:val="0"/>
        <w:jc w:val="both"/>
        <w:rPr/>
      </w:pPr>
      <w:r>
        <w:rPr/>
        <w:t> </w:t>
      </w:r>
    </w:p>
    <w:tbl>
      <w:tblPr>
        <w:tblW w:w="6539" w:type="dxa"/>
        <w:jc w:val="left"/>
        <w:tblInd w:w="0" w:type="dxa"/>
        <w:tblLayout w:type="fixed"/>
        <w:tblCellMar>
          <w:top w:w="28" w:type="dxa"/>
          <w:left w:w="28" w:type="dxa"/>
          <w:bottom w:w="28" w:type="dxa"/>
          <w:right w:w="28" w:type="dxa"/>
        </w:tblCellMar>
      </w:tblPr>
      <w:tblGrid>
        <w:gridCol w:w="3451"/>
        <w:gridCol w:w="146"/>
        <w:gridCol w:w="146"/>
        <w:gridCol w:w="1036"/>
        <w:gridCol w:w="146"/>
        <w:gridCol w:w="146"/>
        <w:gridCol w:w="146"/>
        <w:gridCol w:w="93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4,779,095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4,611,531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3,611,531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8,430,626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financial statements included elsewhere in this Quarterly Report on Form 10-Q and our audited financial statements and related notes for the year ended December 31, 2025 included in our Annual Report on Form 10-K filed with the SEC on March 3, 2026. In addition to historical financial information, this discussion and other parts of this report contain forward-looking statements that involve risks and uncertainties. You should carefully read the sections entitled “Special Note Regarding Forward-Looking Statements” and “Risk Factors” to gain an understanding of the important factors that could cause actual results to differ materially from our forward-looking statements.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are a clinical-stage biopharmaceutical company focused on developing therapeutics for serious acute and chronic inflammatory, immunologic and cardiopulmonary diseases. Our product candidates target calcium release-activated calcium (“CRAC”) channels and, if approved, would represent a new class of therapeutics.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preclinical data suggest that inhibition of CRAC channels may have therapeutic potential through a dual mechanism involving modulation of inflammatory signaling and protection of tissue cells from calcium-mediated injury. Dysregulated CRAC channel signaling has been implicated in a range of acute and chronic diseases characterized by immune activation, inflammation, vascular dysfunction, fibrosis, remodeling, and cellular injury. We seek to leverage our CRAC channel inhibitor platform to develop therapies for indications in which these pathways are clinically relevant.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pipeline includes Auxora, a potent and selective small-molecule CRAC channel inhibitor formulated for intravenous administration whose active compound is zegocractin (formerly CM4620), and CM5480, a proprietary, selective oral small-molecule CRAC channel inhibitor. Auxora has been evaluated in multiple Phase 2 clinical trials in acute and critical-care settings, including acute pancreatitis (“AP”), severe COVID-19 pneumonia, pediatric asparaginase-induced pancreatic toxicity, and acute kidney injury (“AKI”). Following feedback from the FDA in July 2026, we are advancing preparations for a potential Phase 2b clinical trial evaluating Auxora in AP, which is intended to inform the design of a potential Phase 3 development program. We also plan to evaluate Auxora in a Phase 1b proof-of-concept study in patients with pulmonary arterial hypertension (“PAH”), with data expected in mid-2027.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CM5480 is being developed as a potential chronic oral therapy for pulmonary hypertension, including pulmonary arterial hypertension and combined pre- and post-capillary pulmonary hypertension associated with heart failure with preserved ejection fraction. We expect to submit an investigational new drug application for CM5480 in mid-2027. Through our pulmonary hypertension program, we aim to establish CRAC channel inhibition as a differentiated therapeutic approach targeting both pulmonary vascular remodeling and right ventricular dysfunction.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2026, following a Type C focused meeting with the U.S. Food and Drug Administration (“FDA”), we announced that we and FDA had aligned on certain design features of the next clinical trial in our planned development program for Auxora in AP. FDA aligned on new-onset severe respiratory failure as the primary endpoint for the planned Phase 2b trial, with multi-organ failure and time to medically indicated discharge as key secondary endpoints. FDA also aligned on a strategy to prospectively evaluate elevated lactate dehydrogenase (“LDH”) as a potential enrichment marker for identifying patients at increased risk of new-onset severe respiratory failure. The planned Phase 2b trial is intended to confirm patient selection criteria and inform the endpoints and other design features for a potential Phase 3 program. Additional Phase 3 program design features remain subject to future discussions with FDA. We are advancing preparations for the Phase 2b trial, including engaging with a contract research organization and holding discussions with potential clinical sites. Initiation of the Phase 2b trial is subject to our ability to obtain additional 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continue selective research activities to evaluate CRAC channel inhibition in other inflammatory, immunologic and cardiopulmonary indications.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2026, following a recommendation from the Independent Data Monitoring Committee (“IDMC”), we paused enrollment in the KOURAGE Phase 2 clinical trial evaluating Auxora in patients with AKI and AHRF due to a safety concern relating to a mortality imbalance that warranted reevaluation of the study design. The IDMC did not identify evidence of drug-related toxicity, and our comprehensive review, performed in conjunction with external experts, reached the same conclusion. Our review also identified imbalances in patients’ baseline disease severity that informed revisions to the protocol design.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2026, we submitted an amendment to the KOURAGE protocol to address design issues, including refinements to patient inclusion criteria and changes to the stratification methodology. The submission also included a comprehensive safety assessment of the 107 patients who had been dosed prior to the pause in enrollment, including cause-of-death information for all deaths and an analysis of serious adverse events (“SAEs”). Based on our review, the observed SAEs were consistent with previous clinical experience with Auxora and did not appear to be drug related. Following the applicable review period, the FDA notified us that it had no comments or questions regarding the submission and issued no clinical hold communication. Accordingly, dosing may resume under the amended protocol. We are evaluating the future development of Auxora in AKI but have no current plans to resume dosing in the KOURAGE trial as we prioritize other development programs, including our planned pulmonary hypertension program for Auxora and CM5480.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2024, we entered into a Securities Purchase Agreement (the “Purchase Agreement”) with certain accredited investors, in which we sold the following securities to the accredited investors in a private placement transaction (the “2024 Private Placement”): (i) an aggregate of 4,985,610 shares of our common stock; (ii) to certain investors, in lieu of shares, pre-funded warrants (the “Pre-Funded Warrants”) to purchase an aggregate of 306,506 shares of our common stock; (iii) Tranche A Common Warrants (the “Tranche A Common Warrants”) to purchase an aggregate of up to 2,646,058 shares of our common stock (or Pre-Funded Warrants in lieu thereof and, in such case, shares of our common stock issuable upon exercise of such Pre-Funded Warrants); and (iv) Tranche B Common Warrants (the “Tranche B Common Warrants” and together with the Tranche A Common Warrants, the “Common Warrants”) to purchase an aggregate of up to 2,646,058 shares of our common stock (or Pre-Funded Warrants in lieu thereof and, in such case, shares of our common stock issuable upon exercise of such Pre-Funded Warrants). The purchase price per share and accompanying Common Warrants was $3.827 (or $4.3915 for directors, employees or consultants participating in the 2024 Private Placement) (or $3.8269 per Pre-Funded Warrant and accompanying Common Warrants, which represented the price of $3.827 per share and accompanying Common Warrants minus the $0.0001 per share exercise price of each such Pre-Funded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initial closing of the 2024 Private Placement occurred on January 23, 2024 and the second closing occurred on February 5, 2024. Gross proceeds from the transaction were $20.4 million with net proceeds of approximately $19.0 million after deducting $1.4 million in commissions and other transaction costs. The Tranche A Common Warrants expired unexercised on July 27,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we closed an underwritten public offering of 2,720,000 shares of our common stock at a price to the public of $3.75 per share pursuant to the Shelf Registration Statement (the “2024 Follow-On”). The gross proceeds from the offering, before deducting underwriting discounts and commissions and offering expenses, were $10.2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2023, we filed a shelf registration statement on Form S-3 (the “Shelf Registration Statement”), which contains two prospectuses, a base prospectus and an at the market offering prospectus, as supplemented on March 29, 2024 (as supplemented, the “Original Prospectus Supplement”) that covered the offering, issuance and sale of up to $17.3 million of common stock pursuant to an at the market offering agreement (the “ATM Agreement”) with H.C. Wainwright &amp; Co., LLC (“Wainwright”) acting as sales agent (the “ATM Facility”). The Shelf Registration Statement permits the offering, issuance and sale of common stock, preferred stock, debt securities and warrants having an aggregate offering price of up to $100.0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2024 Follow-On, on October 30, 2024, we suspended sales of common stock under the ATM Facility pursuant to the Original Prospectus Supplement, and until December 20, 2024, did not offer for sale any shares of common stock pursuant to the ATM Agreement. We filed a prospectus supplement (the “2024 Prospectus Supplement”) with the SEC on December 20, 2024 for an aggregate gross sales price of up to $4,450,000 of shares of common stock to be sold pursuant to the ATM Facility. As of June 30, 2026, we sold an aggregate of 2,080,943 shares of common stock for net proceeds of approximately $5.8 million after deducting $294,000 of commissions and settlement expenses paid under the ATM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filed a prospectus supplement (the “2025 Prospectus Supplement”) to the Shelf Registration Statement with the SEC on November 6, 2025 providing for the sale of shares of common stock under the ATM Facility having an aggregate gross sales price of up to $9.7 million. As of June 30, 2026, approximately $6.2 million remained available under the ATM Facility for the offer and sale of shares of common stock pursuant to the 2025 Prospectus Supplement.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(the “Closing Date”), we entered into a Loan and Security Agreement and the Supplement to the Loan and Security Agreement (together, the “Loan Agreement”) with Avenue Venture Opportunities Fund II, L.P. (“Lender”) and Avenue Capital Management II, L.P., as administrative agent and collateral agent, for growth capital loans in an aggregate principal amount of up to $32,500,000 (the “Loan”), with (i) $10,000,000 funded on the Closing Date (“Tranche 1”), (ii) up to $7,500,000 to be made available to us between September 1, 2025 and March 31, 2026, which was subject to, among other things, our achievement of certain milestones with respect to certain of our ongoing clinical trials (“Tranche 2”) and (iii) up to $15,000,000 to be made available to us between October 1, 2025 and March 31, 2026, which was subject to, among other things, (a) our achievement of additional milestones with respect to certain of its ongoing clinical trials and (b) the mutual written agreement of us and the Lender (upon its investment committee approval) (“Tranche 3”). In connection with the pause in enrollment in the KOURAGE trial, Tranche 2 and Tranche 3 are no longer available to us. The Loan bears interest at an annual rate equal to the greater of (a) the sum of 5.00% plus the prime rate as reported in The Wall Street Journal and (b) 12.75%. The Loan is secured by a lien upon and security interest in all of our assets, including intellectual property, subject to agreed exceptions.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23, 2026, we amended the Loan Agreement to extend the interest-only period by one year through September 30, 2027 and extend the maturity date to September 1, 2029. The amendment also modified certain conversion features and increased the final payment fee payable at maturity or repayment. Management believes the amendment provides additional financial flexibility by deferring scheduled principal repayments while maintaining access to the existing debt 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3, 2026, we filed a shelf registration statement on Form S-3 (the “2026 Shelf Registration Statement”). The 2026 Shelf Registration Statement permits the offering, issuance and sale of common stock, preferred stock, debt securities and warrants having an aggregate offering price of up to $125.0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25, 2026, we completed a PIPE Financing pursuant to a Securities Purchase Agreement dated June 23, 2026 with certain new and existing institutional and accredited investors. Gross proceeds from the financing were approximately $15.0 million before deducting placement agent fees and other offering expenses. At the closing of the PIPE Financing, we issued an aggregate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18,673,429 units at a purchase price of $0.8033 per unit (or $0.8032 per unit for units including a pre-funded warrant). Each unit consisted of (a) one share of our common stock or, at the election of the investor, one pre-funded warrant to purchase one share of common stock, (b) and a contractual right to receive one Series A and Series B warrant upon receipt of the required stockholder approval under Nasdaq Listing Rule 5635. We issued 14,938,370 shares of common stock and 3,735,059 pre-funded warrants at the closing of the financing. The pre-funded warrants have an exercise price of $0.0001 per share, are immediately exercisable, do not expire and are exercisable for cash or, under certain circumstances, on a cashless basis. The pre-funded warrants contain customary anti-dilution adjustments for stock splits, stock dividends and similar recapitalization events and include beneficial ownership limitations that prohibit exercise if the holder would beneficially own more than a specified percentage of our outstanding common stock, unless such limitation is waived in accordance with the terms of the warrants.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from product sales sufficient to achieve profitability will depend heavily on the successful development and eventual commercialization of one or more of our product candidates. Through June 30, 2026, our operations have been funded primarily by aggregate net proceeds of $207.6 million from the issuance of convertible preferred stock, convertible promissory notes, promissory notes, warrants, common stock, and the Merger. Since inception we have had significant operating losses, except for the three month period ending March 31, 2026 and March 31, 2024. Our net loss was $2.7 million for the six months ended June 30, 2026. Included in the net loss for the six months ended June 30, 2026 were total operating expenses of $9.6 million, interest expense of $0.6 million offset by a non-cash gain from the fair value adjustment to our warrant liability and promissory note of $7.2 million, interest income of $0.2 million and other income of $0.2 million. As of June 30, 2026, we had an accumulated deficit of $192.0 million and $18.6 million in cash and cash equivalents. We expect that our cash and cash equivalents will enable us to fund our current operating plan into the second half of 2027. As a result, there is substantial doubt about 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to fund operating expenses is impacted by the timing of when we pay these expenses, as reflected in the change in our accounts payable and accrued expenses. We expect to continue to incur net losses from operating activities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public company.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had any products approved for sale and, therefore, have not generated any product revenue. We do not expect to generate any revenues from product sales unless and until we successfully complete development and obtain regulatory approval for one or more of our product candidates. If we obtain regulatory approval for any of our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 reduce headcount, file for bankruptcy, reorganize, merge with another entity or cease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expenses have included: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 costs, which include salaries, benefits and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under agreements with consultants, third-party contract organizations that conduct research and development activities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production of preclinical and clinical materials, including fees paid to contract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laboratory and vendor expenses related to the execution of preclinical studies and previously planned and ongoing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laboratory supplies and materials used for internal research and development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Most of our historical research and development expenses have been related to the preclinical and clinical development of Auxora. We have not reported program costs since inception because we have not tracked or recorded our research and development expenses on a program-by-program basis historically due to the fact that these costs do not necessarily correlate to the overall research and development efforts attributable to such programs and these costs can vary significantly from period to period. We have historically used our personnel and infrastructure resources across the breadth of our research and development activities, which are directed toward identifying and developing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research and development expenses to increase substantially for the foreseeable future as we continue to invest in research and development activities related to developing our product candidates, including investments in conducting clinical trials, manufacturing and otherwise advancing our programs. The process of conducting the necessary clinical research to obtain regulatory approval is costly and time-consuming, and the successful development of our product candidates is highly uncertain.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cannot determine with certainty the duration and completion costs of the current or future preclinical studies and clinical trials or if, when, or to what extent we will generate revenues from the commercialization and sale of our product candidates or if we even continue to pursue such product development, commercialization or sales. We may never succeed in achieving regulatory approval for our product candidates. The duration, costs and timing of preclinical studies and clinical trials and development of our remaining product candidates, to the extent we continue to pursue such activities, will depend on a variety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completion of preclinical studies and initiation of clinical trials for Auxora, our other current product candidates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enrollment and completion of our clinical trials for our current product candidates or any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data from our clinical programs that support an acceptable risk-benefit profile of our product candidates in the intended patient populations;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acceptance by the FDA, regulatory authorities in Europe, Canada or other regulatory agencies of the IND applications, clinical trial applications and/or other regulatory filings for Auxora, our other current product candidates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expansion and maintenance of a workforce of experienced scientists and others to continue to develop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application for and receipt of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obtainment and maintenance of intellectual property protection and regulatory exclusivity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arrangements with third-party manufacturers for, or establishment of, clinical and commercial active pharmaceutical ingredient (“API”) and drug product manufacturing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establishment of sales, marketing and distribution capabilities and successful launch of commercial sales of our products, if and when approved,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acceptance of our products, if and when approved,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competition with other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obtainment and maintenance of coverage, adequate pricing and adequate reimbursement from third-party payors, including government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enforcement, defense and protection of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avoidance of infringement, misappropriation or other violations with respect to others’ intellectual property or proprietary rights;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a continued acceptable safety profile of our products following receipt of any marketing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never succeed in achieving regulatory approval for any of our remaining product candidates. We may obtain unexpected results from our preclinical studies and subsequent clinical trials, if any. We may elect to discontinue, delay or modify future clinical trials or preclinical activities of some product candidates or focus on others. A change in the outcome of any of these factors could mean a significant change in the costs and timing associated with the development of our current preclinical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future clinical trials, if any, we could be required to expend significant additional financial resources and time on the completion of preclinical and clinical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activities account for a significant portion of our operating expenses. We expect our research and development expenses to increase for the foreseeable future as we continue to implement our business strategy, which includes advancing Auxora through clinical development and other product candidates further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general and administrative expenses consist primarily of personnel costs, depreciation expense and other expenses for outside professional services, including legal related to intellectual property and corporate matters, human resources, audit and accounting services and facility-related fees not otherwise included in research and development expenses. Personnel costs consist of salaries, benefits and equity-based compensation expense for our personnel in executive, finance and accounting, business operations and other administrative functions. We expect our general and administrative expenses to increase over the next several years to support our continued research and development activities, manufacturing activities, increased costs of expanding our operations and operating as a public company. These increases will likely include increases related to the hiring of additional personnel and legal, regulatory and other fees and services associated with maintaining compliance with stock exchange listing rules and SEC requirements, director and officer insurance premiums and investor relations costs associated with being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other income (expense) includes (i) interest income and expense and non-cash changes in the fair value of the promissory note; (ii) non-cash changes in the fair value of our warrant liabilities; and (iii) other non-operating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sets forth our results of operations (in thousands):</w:t>
      </w:r>
    </w:p>
    <w:p>
      <w:pPr>
        <w:pStyle w:val="TextBody"/>
        <w:bidi w:val="0"/>
        <w:spacing w:before="120" w:after="283"/>
        <w:jc w:val="both"/>
        <w:rPr/>
      </w:pPr>
      <w:r>
        <w:rPr/>
        <w:t> </w:t>
      </w:r>
    </w:p>
    <w:tbl>
      <w:tblPr>
        <w:tblW w:w="7215" w:type="dxa"/>
        <w:jc w:val="left"/>
        <w:tblInd w:w="0" w:type="dxa"/>
        <w:tblLayout w:type="fixed"/>
        <w:tblCellMar>
          <w:top w:w="28" w:type="dxa"/>
          <w:left w:w="28" w:type="dxa"/>
          <w:bottom w:w="28" w:type="dxa"/>
          <w:right w:w="28" w:type="dxa"/>
        </w:tblCellMar>
      </w:tblPr>
      <w:tblGrid>
        <w:gridCol w:w="2561"/>
        <w:gridCol w:w="146"/>
        <w:gridCol w:w="211"/>
        <w:gridCol w:w="631"/>
        <w:gridCol w:w="166"/>
        <w:gridCol w:w="146"/>
        <w:gridCol w:w="211"/>
        <w:gridCol w:w="631"/>
        <w:gridCol w:w="166"/>
        <w:gridCol w:w="146"/>
        <w:gridCol w:w="211"/>
        <w:gridCol w:w="631"/>
        <w:gridCol w:w="166"/>
        <w:gridCol w:w="146"/>
        <w:gridCol w:w="1046"/>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(48%)</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20"/>
              </w:rPr>
            </w:pPr>
            <w:r>
              <w:rPr>
                <w:rFonts w:ascii="Times New Roman" w:hAnsi="Times New Roman"/>
                <w:color w:val="000000"/>
                <w:sz w:val="20"/>
              </w:rPr>
              <w:t>(26%)</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(647%)</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comprised (in thousands):</w:t>
      </w:r>
    </w:p>
    <w:p>
      <w:pPr>
        <w:pStyle w:val="TextBody"/>
        <w:bidi w:val="0"/>
        <w:spacing w:before="120" w:after="283"/>
        <w:jc w:val="both"/>
        <w:rPr/>
      </w:pPr>
      <w:r>
        <w:rPr/>
        <w:t> </w:t>
      </w:r>
    </w:p>
    <w:tbl>
      <w:tblPr>
        <w:tblW w:w="8690" w:type="dxa"/>
        <w:jc w:val="left"/>
        <w:tblInd w:w="0" w:type="dxa"/>
        <w:tblLayout w:type="fixed"/>
        <w:tblCellMar>
          <w:top w:w="28" w:type="dxa"/>
          <w:left w:w="28" w:type="dxa"/>
          <w:bottom w:w="28" w:type="dxa"/>
          <w:right w:w="28" w:type="dxa"/>
        </w:tblCellMar>
      </w:tblPr>
      <w:tblGrid>
        <w:gridCol w:w="4396"/>
        <w:gridCol w:w="146"/>
        <w:gridCol w:w="211"/>
        <w:gridCol w:w="571"/>
        <w:gridCol w:w="146"/>
        <w:gridCol w:w="146"/>
        <w:gridCol w:w="211"/>
        <w:gridCol w:w="571"/>
        <w:gridCol w:w="146"/>
        <w:gridCol w:w="146"/>
        <w:gridCol w:w="211"/>
        <w:gridCol w:w="631"/>
        <w:gridCol w:w="166"/>
        <w:gridCol w:w="146"/>
        <w:gridCol w:w="846"/>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studies and clinical trial-related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Chemistry, manufacturing and controls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(71%)</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were $2.1 million for the three months ended June 30, 2026, compared to $4.1 million for the three months ended June 30, 2025. The decrease of $2.0 million was due primarily to a decrease of $1.4 million in preclinical activities relating to Auxora and the pause in enrollment in our clinical trial for AKI and a decrease of $0.6 million in personnel and consultants and other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to support our business activities comprised (in thousands):</w:t>
      </w:r>
    </w:p>
    <w:p>
      <w:pPr>
        <w:pStyle w:val="TextBody"/>
        <w:bidi w:val="0"/>
        <w:spacing w:before="120" w:after="283"/>
        <w:jc w:val="both"/>
        <w:rPr/>
      </w:pPr>
      <w:r>
        <w:rPr/>
        <w:t> </w:t>
      </w:r>
    </w:p>
    <w:tbl>
      <w:tblPr>
        <w:tblW w:w="7885" w:type="dxa"/>
        <w:jc w:val="left"/>
        <w:tblInd w:w="0" w:type="dxa"/>
        <w:tblLayout w:type="fixed"/>
        <w:tblCellMar>
          <w:top w:w="28" w:type="dxa"/>
          <w:left w:w="28" w:type="dxa"/>
          <w:bottom w:w="28" w:type="dxa"/>
          <w:right w:w="28" w:type="dxa"/>
        </w:tblCellMar>
      </w:tblPr>
      <w:tblGrid>
        <w:gridCol w:w="3741"/>
        <w:gridCol w:w="146"/>
        <w:gridCol w:w="211"/>
        <w:gridCol w:w="571"/>
        <w:gridCol w:w="146"/>
        <w:gridCol w:w="146"/>
        <w:gridCol w:w="211"/>
        <w:gridCol w:w="571"/>
        <w:gridCol w:w="146"/>
        <w:gridCol w:w="146"/>
        <w:gridCol w:w="211"/>
        <w:gridCol w:w="481"/>
        <w:gridCol w:w="166"/>
        <w:gridCol w:w="146"/>
        <w:gridCol w:w="846"/>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(52%)</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$1.9 million for the three months ended June 30, 2026, compared to $2.6 million for the three months ended June 30, 2025. The decrease of $0.7 million was primarily related to a decrease in personnel and consultants and other costs of $0.8 million partially offset by an increase in professional services of $0.1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for the three months ended June 30, 2026 was $3.6 million of expense compared to $0.7 million of income for the three months ended June 30, 2025. The decrease of $4.3 million was due to a $3.6 million loss from fair value adjustments to our financial instruments for the three months ended June 30, 2026, compared to a $0.5 million gain in the three months ended June 30, 2025 and a decrease in interest income of $0.2 million driven by the balances of our short term investments and cash equivalents.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sets forth our results of operations (in thousands):</w:t>
      </w:r>
    </w:p>
    <w:p>
      <w:pPr>
        <w:pStyle w:val="TextBody"/>
        <w:bidi w:val="0"/>
        <w:spacing w:before="120" w:after="283"/>
        <w:jc w:val="both"/>
        <w:rPr/>
      </w:pPr>
      <w:r>
        <w:rPr/>
        <w:t> </w:t>
      </w:r>
    </w:p>
    <w:tbl>
      <w:tblPr>
        <w:tblW w:w="7320" w:type="dxa"/>
        <w:jc w:val="left"/>
        <w:tblInd w:w="0" w:type="dxa"/>
        <w:tblLayout w:type="fixed"/>
        <w:tblCellMar>
          <w:top w:w="28" w:type="dxa"/>
          <w:left w:w="28" w:type="dxa"/>
          <w:bottom w:w="28" w:type="dxa"/>
          <w:right w:w="28" w:type="dxa"/>
        </w:tblCellMar>
      </w:tblPr>
      <w:tblGrid>
        <w:gridCol w:w="2561"/>
        <w:gridCol w:w="146"/>
        <w:gridCol w:w="211"/>
        <w:gridCol w:w="631"/>
        <w:gridCol w:w="166"/>
        <w:gridCol w:w="146"/>
        <w:gridCol w:w="211"/>
        <w:gridCol w:w="736"/>
        <w:gridCol w:w="166"/>
        <w:gridCol w:w="146"/>
        <w:gridCol w:w="211"/>
        <w:gridCol w:w="631"/>
        <w:gridCol w:w="166"/>
        <w:gridCol w:w="146"/>
        <w:gridCol w:w="1046"/>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(32%)</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20"/>
              </w:rPr>
            </w:pPr>
            <w:r>
              <w:rPr>
                <w:rFonts w:ascii="Times New Roman" w:hAnsi="Times New Roman"/>
                <w:color w:val="000000"/>
                <w:sz w:val="20"/>
              </w:rPr>
              <w:t>(17%)</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228%</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comprised (in thousands):</w:t>
      </w:r>
    </w:p>
    <w:p>
      <w:pPr>
        <w:pStyle w:val="TextBody"/>
        <w:bidi w:val="0"/>
        <w:spacing w:before="120" w:after="283"/>
        <w:jc w:val="both"/>
        <w:rPr/>
      </w:pPr>
      <w:r>
        <w:rPr/>
        <w:t> </w:t>
      </w:r>
    </w:p>
    <w:tbl>
      <w:tblPr>
        <w:tblW w:w="8690" w:type="dxa"/>
        <w:jc w:val="left"/>
        <w:tblInd w:w="0" w:type="dxa"/>
        <w:tblLayout w:type="fixed"/>
        <w:tblCellMar>
          <w:top w:w="28" w:type="dxa"/>
          <w:left w:w="28" w:type="dxa"/>
          <w:bottom w:w="28" w:type="dxa"/>
          <w:right w:w="28" w:type="dxa"/>
        </w:tblCellMar>
      </w:tblPr>
      <w:tblGrid>
        <w:gridCol w:w="4396"/>
        <w:gridCol w:w="146"/>
        <w:gridCol w:w="211"/>
        <w:gridCol w:w="571"/>
        <w:gridCol w:w="146"/>
        <w:gridCol w:w="146"/>
        <w:gridCol w:w="211"/>
        <w:gridCol w:w="571"/>
        <w:gridCol w:w="146"/>
        <w:gridCol w:w="146"/>
        <w:gridCol w:w="211"/>
        <w:gridCol w:w="631"/>
        <w:gridCol w:w="166"/>
        <w:gridCol w:w="146"/>
        <w:gridCol w:w="846"/>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studies and clinical trial-related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Chemistry, manufacturing and controls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(47%)</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were $5.6 million for six months ended June 30, 2026, compared to $8.3 million for the six months ended June 30, 2025. The decrease of $2.7 million was due primarily to a decrease of $1.9 million in preclinical and clinical trial related activities related to Auxora and the end of our clinical trial for AKI, a decrease of $0.3 million in chemistry, manufacturing and control activities in regard to our Phase 2 clinical trials of Auxora and consultants and other costs and personnel of $0.5 million.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to support our business activities comprised (in thousands):</w:t>
      </w:r>
    </w:p>
    <w:p>
      <w:pPr>
        <w:pStyle w:val="TextBody"/>
        <w:bidi w:val="0"/>
        <w:jc w:val="left"/>
        <w:rPr/>
      </w:pPr>
      <w:r>
        <w:rPr/>
        <w:t> </w:t>
      </w:r>
    </w:p>
    <w:tbl>
      <w:tblPr>
        <w:tblW w:w="7885" w:type="dxa"/>
        <w:jc w:val="left"/>
        <w:tblInd w:w="0" w:type="dxa"/>
        <w:tblLayout w:type="fixed"/>
        <w:tblCellMar>
          <w:top w:w="28" w:type="dxa"/>
          <w:left w:w="28" w:type="dxa"/>
          <w:bottom w:w="28" w:type="dxa"/>
          <w:right w:w="28" w:type="dxa"/>
        </w:tblCellMar>
      </w:tblPr>
      <w:tblGrid>
        <w:gridCol w:w="3741"/>
        <w:gridCol w:w="146"/>
        <w:gridCol w:w="211"/>
        <w:gridCol w:w="571"/>
        <w:gridCol w:w="146"/>
        <w:gridCol w:w="146"/>
        <w:gridCol w:w="211"/>
        <w:gridCol w:w="571"/>
        <w:gridCol w:w="146"/>
        <w:gridCol w:w="146"/>
        <w:gridCol w:w="211"/>
        <w:gridCol w:w="481"/>
        <w:gridCol w:w="166"/>
        <w:gridCol w:w="146"/>
        <w:gridCol w:w="846"/>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(31%)</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$4.0 million for the six months ended June 30, 2026, compared to $4.8 million for the six months ended June 30, 2025. The decrease of $0.8 million was primarily related to a decrease in personnel and consultants and other costs of $0.8 million and facilities of $0.1 million. These costs were partially offset by an increase in professional services of $0.1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for the six months ended June 30, 2026 was $6.9 million, compared to other income of $2.1 million for the six months ended June 30, 2025. The increase of $4.8 million was due to the fair value adjustments to our financial instruments which resulted in a net gain of $7.2 million compared to a $2.2 million gain for the six months ended June 30, 2026 and 2025, respectively. Additionally there was a decrease in interest expense associated with our promissory note of $0.1 million. These were both offset by a decrease in interest income of $0.3 million driven by the balances of our cash equivalents and short-term investments.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cash and cash equivalents of $18.6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further described below, on February 28, 2025, the Company entered into the Loan Agreement with Avenue Venture Opportunities Fund II, L.P. and Avenue Capital Management II, L.P. for an initial $10.0 million of gross proceeds. On November 6, 2025, we filed the 2025 Prospectus Supplement which increased our capacity for sales under the ATM Facility to $9.7 million. During the six months ended June 30, 2026 there were 49,115 shares sold under the ATM Facility for net proceeds of $0.03 million, after deducting negligible commissions and settlement expenses. As of June 30, 2026, our remaining capacity for sales of common stock under the ATM Facility was $6.2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on a basis which assumes we are a going concern and does not include any adjustments to reflect the possible future effects on the recoverability and classification of assets or the amounts and classifications of liabilities that may result from any uncertainty related to our ability to continue as a going concern. Based on our current operating plans, we believe our cash and cash equivalents may not be sufficient to fund our operations for a period of one year following the issuance of the accompanying financial statements. Specifically, we expect that our cash and cash equivalents will allow us to fund our current operating plan into the second half of 2027. As a result, there is substantial doubt about the Company’s ability to continue as a going concern. In addition, our current cash and cash equivalents will not be sufficient to fund any of our product candidates through regulatory approval, nor will it be sufficient to pursue additional indications for Auxora, nor will it be sufficient to fund clinical work on other product candidates in our portfolio aside from Auxora, and we will need to raise substantial additional capital to complete the development and commercialization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maintain sufficient financial resources, our business, financial condition and results of operations will be materially and adversely affected. To fund our operations in both the near term and long term, we will need to raise additional capital to develop our product candidates and implement our operating plans. There can be no assurance that we will be able to obtain the needed financing on acceptable terms or at all. Additionally, equity or debt financings may have a dilutive effect on the holdings of our existing stockholders. In addition, the terms of the Loan Agreement contain certain restrictions on incurring additional indebtedness.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progress, costs and results of our ongoing and planned clinical trials of Auxora and our ongoing and planned preclinical studies and clinical trials for our other product candidates, including CM5480;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discovery research, preclinical development, laboratory testing and clinical trials for our product candidates, including our ongoing and planned clinical trials of Auxora and our ongoing and planned preclinical studies and clinical trials of CM5480;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and development requirements for, other product candidates that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contract manufacturing arrangements for supply of API and manufacture of drug product for our product candidates and the terms of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strategic collaborations, licensing or other arrangements and the financial terms of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payment or receipt of milestones and receipt of other collaboration-based revenues,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any future commercialization activities, including product manufacturing, sales, marketing and distribution, for any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and proprietary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acquire or in-license other products, product candidates, technologies or data referencing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receive additional non-dilutive funding, including grants from organizations and foundations;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service and comply with the terms of our outstanding indebtedness;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impacts of global health pandemics, geopolitical conflicts and economic uncertainty, including tariffs and other trade measures, rising interest rates and inflation on our business and operations, including clinical trials, collaborators, CROs and employees;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we commenced operations in October 2006, we have primarily financed our operations through private placements of our preferred stock, convertible promissory notes, promissory notes, warrants, common stock, and through the Merger. We have used substantial amounts of cash to fund our operations and expect our expenses to increase substantially for the foreseeable future. The development of drug product candidates is highly capital intensive. As our product candidates enter and advance through preclinical studies and clinical trials, we will need substantial additional funds to expand our clinical, regulatory and quality capabilities. In addition, if we obtain marketing approval for any of our product candidates, we expect to incur significant commercialization expenses related to marketing, sales, manufacturing and distribution. Furthermore,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 The global credit and financial markets have experienced extreme volatility, including in liquidity and credit availability, declines in consumer confidence, declines in economic growth, and uncertainty about economic stability. There can be no assurance that deterioration in credit and financial markets and confidence in economic conditions will not occur. If equity and credit markets deteriorate, it may make any necessary debt or equity financing more difficult to obtain, more costly and/or more dilutive.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finance our longer-term expected future cash requirements and obligations through a combination of existing cash and cash equivalents and equity offerings, debt financings or other capital sources, including collaborations, licenses or similar arrangements. To continue to finance our operations, we will need to raise additional capital, which cannot be assured. We have based this estimate on assumptions that may prove to be wrong, and we could exhaust our available capital resources sooner than we expect. We will continue to require additional financing to advance our current product candidates through clinical development, to develop, acquire or in-license other potential product candidates and to fund operations for the foreseeable future. However, we may be unable to raise additional funds or enter into such other arrangement when needed or on favorable terms, if at all.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 reduce headcount, file for bankruptcy, reorganize, merge with another entity or cease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2023, we filed the Shelf Registration Statement, which contains two prospectuses, a base prospectus and the Original Prospectus Supplement that covered the offering, issuance and sale of up to $17.3 million of common stock pursuant to the ATM Agreement with Wainwright, acting as sales agent. The Shelf Registration Statement permits the offering, issuance and sale of common stock, preferred stock, debt securities and warrants having an aggregate offering price of up to $100.0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2024, we entered into the Purchase Agreement with certain accredited investors, in which we sold the following securities to the accredited investors the 2024 Private Placement: (i) an aggregate of 4,985,610 shares of our common stock; (ii) to certain investors, in lieu of shares, Pre-Funded Warrants to purchase an aggregate of 306,506 shares of our common stock; (iii) Tranche A Common Warrants to purchase an aggregate of up to 2,646,058 shares of our common stock (or Pre-Funded Warrants in lieu thereof and, in such case, shares of our common stock issuable upon exercise of such Pre-Funded Warrants); and (iv) Tranche B Common Warrants to purchase an aggregate of up to 2,646,058 shares of our common stock (or Pre-Funded Warrants in lieu thereof and, in such case, shares of our common stock issuable upon exercise of such Pre-Funded Warrants). The purchase price per share and accompanying Common Warrants was $3.827 (or $4.3915 for directors, employees or consultants participating in the 2024 Private Placement) (or $3.8269 per Pre-Funded Warrant and accompanying Common Warrants, which represented the price of $3.827 per share and accompanying Common Warrants minus the $0.0001 per share exercise price of each such Pre-Funded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closing of the 2024 Private Placement occurred on January 23, 2024 and the second closing occurred on February 5, 2024. Gross proceeds from the transaction were $20.4 million with net proceeds of approximately $19.0 million after deducting $1.4 million in commissions and other transaction costs. The Tranche A Common Warrants expired unexercised on July 27,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we closed the 2024 Follow-On. The gross proceeds from the offering, before deducting underwriting discounts and commissions and offering expenses, were $10.2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2024 Follow-On, on October 30, 2024, we suspended sales of common stock under the ATM Facility pursuant to the Original Prospectus Supplement, and until December 20, 2024, did not offer for sale any shares of common stock. We filed the 2024 Prospectus Supplement with the SEC on December 20, 2024 providing for the sale of shares of common stock under the ATM Facility having an aggregate gross sales price of up to $4.45 million of shares of common stock. As of June 30, 2026, we sold an aggregate of 2,080,943 shares of common stock for net proceeds of approximately $5.8 million, after deducting $294,000 of commissions and settlement expenses paid under the ATM Facility. As of June 30, 2026, our remaining capacity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common stock under the ATM Facility was $6.2 million. On November 6, 2025, we filed the 2025 Prospectus Supplement which increased our capacity for sales of common stock under the ATM Facility of up to $9.7 million. Our ability to make sales under the ATM Facility is dependent on a number of factors as set forth in the ATM Facility, and in connection with the PIPE Financing, we agreed to refrain from making sales of equity securities, including under our ATM Facility, for a certain period of time following the effectiveness of a registration statement on Form S-3 to register the resale of shares purchased by investors in the PIPE 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we entered into the Loan Agreement with Avenue Venture Opportunities Fund II, L.P. and Avenue Capital Management II, L.P., as administrative agent and collateral agent, for growth capital loans in an aggregate principal amount of up to $32,500,000, with (i) Tranche 1 for $10,000,000 funded on the Closing Date, (ii) Tranche 2 for up to $7,500,000 to be made available to us between September 1, 2025 and March 31, 2026, which was subject to, among other things, our achievement of certain milestones with respect to certain of our ongoing clinical trials and (iii) Tranche 3 for up to $15,000,000 to be made available to the Company between October 1, 2025 and March 31, 2026, which was subject to, among other things, (a) our achievement of additional milestones with respect to certain of its ongoing clinical trials and (b) the mutual written agreement of us and the Lender (upon its investment committee approval). In connection with the pause in enrollment in the KOURAGE trial, Tranche 2 and Tranche 3 are no longer available to the Company. The Loan bears interest at an annual rate equal to the greater of (a) the sum of 5.00% plus the prime rate as reported in The Wall Street Journal and (b) 12.75%. The Loan is secured by a lien upon and security interest in all of our assets, including intellectual property, subject to agreed exceptions.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23, 2026, we amended the Loan Agreement to extend the interest-only period by one year through September 30, 2027 and extend the maturity date to September 1, 2029. The amendment also modified certain conversion features and increased the final payment fee payable at maturity or repayment. Management believes the amendment provides additional financial flexibility by deferring scheduled principal repayments while maintaining access to the existing debt 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3, 2026, we filed a shelf registration statement on Form S-3 (the “2026 Shelf Registration Statement”). The 2026 Shelf Registration Statement permits the offering, issuance and sale of common stock, preferred stock, debt securities and warrants having an aggregate offering price of up to $125.0 million in one or more offerings and in any combination of the foregoing.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25, 2026, we completed a PIPE Financing pursuant to a Securities Purchase Agreement dated June 23, 2026 with certain new and existing institutional and accredited investors. Gross proceeds from the financing were approximately $15.0 million before deducting placement agent fees and other offering expenses. At the closing of the PIPE Financing, we issued an aggregate of 18,673,429 units at a purchase price of $0.8033 per unit (or $0.8032 per unit for units including a pre-funded warrant). Each unit consisted of (a) one share of our common stock or, at the election of the investor, one pre-funded warrant to purchase one share of common stock, (b) and a contractual right to receive one Series A and Series B warrant upon receipt of the required stockholder approval under Nasdaq Listing Rule 5635. We issued 14,938,370 shares of common stock and 3,735,059 pre-funded warrants at the closing of the financing. The pre-funded warrants have an exercise price of $0.0001 per share, are immediately exercisable, do not expire and are exercisable for cash or, under certain circumstances, on a cashless basis. The pre-funded warrants contain customary anti-dilution adjustments for stock splits, stock dividends and similar recapitalization events and include beneficial ownership limitations that prohibit exercise if the holder would beneficially own more than a specified percentage of our outstanding common stock, unless such limitation is waived in accordance with the terms of the warrants.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through June 30, 2026, have been funded primarily by aggregate net proceeds of $207.6 million from the issuance of convertible preferred stock, convertible notes, promissory notes, warrants, common stock, and the Merger. Since inception, we have had significant net losses, except for the three month period ended March 31, 2026 and 2024. Our net loss for the six months ended June 30, 2026 was $2.7 million and consisted of total operating expenses of $9.6 million, interest expense of $0.6 million offset by a non-cash gain from the fair value adjustment to our warrant liability and promissory note of $7.2 million, interest income of $0.2 million and other income of $0.2 million. As of June 30, 2026, we had an accumulated deficit of $192.0 million and $18.6 million in cash and cash equivalents. During the six months ended June 30, 2026, cash used in operations was $9.5 million, primarily due to cash outlays for operations.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both"/>
        <w:rPr/>
      </w:pPr>
      <w:r>
        <w:rPr/>
        <w:t> </w:t>
      </w:r>
    </w:p>
    <w:tbl>
      <w:tblPr>
        <w:tblW w:w="7024" w:type="dxa"/>
        <w:jc w:val="left"/>
        <w:tblInd w:w="0" w:type="dxa"/>
        <w:tblLayout w:type="fixed"/>
        <w:tblCellMar>
          <w:top w:w="28" w:type="dxa"/>
          <w:left w:w="28" w:type="dxa"/>
          <w:bottom w:w="28" w:type="dxa"/>
          <w:right w:w="28" w:type="dxa"/>
        </w:tblCellMar>
      </w:tblPr>
      <w:tblGrid>
        <w:gridCol w:w="4321"/>
        <w:gridCol w:w="146"/>
        <w:gridCol w:w="211"/>
        <w:gridCol w:w="676"/>
        <w:gridCol w:w="166"/>
        <w:gridCol w:w="146"/>
        <w:gridCol w:w="211"/>
        <w:gridCol w:w="736"/>
        <w:gridCol w:w="4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of $9.5 million during the six months ended June 30, 2026 was attributable to our net loss of $2.7 million, non-cash items of $6.1 million and a net change in our operating assets and liabilities of $0.7 million. Non-cash items consisted primarily of $6.7 million and $0.5 million due to a change in our warrant and promissory note liabilities offset by $1.1 million of 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of $11.5 million during the six months ended June 30, 2025 was attributable to our net loss of $11.0 million, non-cash items of $0.3 million and a net change in our operating assets and liabilities of $0.2 million. Non-cash items consisted primarily of $1.8 million and $0.4 million due to a change in our warrant liabilities and promissory note and accretion on our short term investments of $0.2 million offset by $1.7 million of stock-based compensation and debt issuance costs of $0.4 million as result of the debt financing in the first quarter of 2025.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Net Cash Provided by (Used In)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activities of $1.5 million for the six months ended June 30, 2026 consisted of the maturing of our short-term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activities of $1.1 million for the six months ended June 30, 2025 consisted of purchases of short-term investments of $14.0 million offset by the maturing of short-term investments of $12.9 million.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Net 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2026 was $15.0 million and comprised of the PIPE financing and issuance of common stock of $12.0 million and the issuance of pre-funded warrants of $3.0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2025 was $10.6 million and comprised of the debt financing of $9.6 million and $1.0 million as a result of our ATM Facility.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material cash requirements from known contractual obligations consisted primarily of our lease obligation and Loan Agreement. We lease office space in La Jolla, California with monthly rent expense of approximately $4,375 pursuant to a lease agreement that commenced on March 1, 2026 for another 12 month term through February 28, 2027. We also relocated to smaller premises of approximately 691 square feet. Monthly rent expense of approximately $13,300 was paid for each of the first two months of 2026. Over the next 8 months, we expect cash requirements for our lease obligation to be approximately $35,000.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the Loan Agreement with Avenue Venture Opportunities Fund II, L.P. and Avenue Capital Management II, L.P., as amended, we will make interest only payments through September 2027 and we will be required to make principal payments beginning in October 2027. The maturity date of the Loan is September 2029.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contracts in the normal course of business with third-party service providers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 and we cannot reasonably estimate the timing of if and when they will occur. We could also enter into additional research, manufacturing, supplier and other agreements in the future, which may require up-front payments and even long-term commitments of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from time to time, become party or subject to various other legal proceedings and claims, either asserted or unasserted, which arise in the ordinary course of business. Some of these proceedings have involved, and may involve in the future, claims that are subject to substantial uncertainties and unascertainable damages.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incur substantial expenses associated with clinical trials. Accounting for clinical trials relating to activities performed by CROs and other external vendors requires management to make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 and other arrangements, the different compensation arrangements that exist for each type of service and the lack of timely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related to certain clinical activities complicates the estimation of accruals for services rendered by CROs and other vendors in connection with clinical trials. We record the estimated costs of research and development activities based upon the number of services provided but not yet invoiced and include these costs in the accrued and other current liabilities on the balance sheets and within research and development expense on the statements of operations, and payments made prior to the receipt of goods or services to be used in research and development are capitalized until the goods or services are received. In estimating the duration of a clinical trial, we evaluate the start-up, treatment and wrap-up periods, compensation arrangements and services rendered attributable to each clinical trial and fluctuations are regularly tested against payment plans and trial completion assumptions.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Accrued Clinical Trial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estimate these costs based on factors such as estimates of the work completed and budget provided and in accordance with agreements established with our collaboration partners and third-party service providers. We make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expenses related to clinical trials are based on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the Promissory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elected the fair value option for the promissory note and estimated the fair value based on a discounted cash flow analysis, a form of the Income Approach. Several different settlement scenarios were considered, and probability weighted to arrive at the final valuation. Increases or decreases in the fair value of the promissory note can result from updates to assumptions such as the expected timing or probability of the different settlement scenarios, or changes in discount rates. Judgment is used in determining these assumptions as of the initial valuation date and at each subsequent reporting period. Updates to assumptions could have a significant impact on our results of operations in any given period.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Valuation of Common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Common Warrants were valued using Black-Scholes utilizing the following inputs; (i) a risk-free interest rate (ii) volatility based on the expected term of the Common Warrant (iii) and an exercise price and stock price on the date of the transaction. Several different scenarios were considered, and probability weighted to arrive at the final valuation. Increases or decreases in the fair value of the Common Warrants can result from updates to assumptions such as the expected timing or probability of the different settlement scenarios. Judgment is used in determining these assumptions as of the initial valuation date and at each subsequent reporting period. Updates to assumptions could have a significant impact on our results of operations in any given period.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as amended (the “Exchange Act”), because both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June 30th. As a smaller reporting company, we may rely on exemptions from certain disclosure requirements that are available to smaller reporting companies, including only presenting the two most recent fiscal years of audited financial statements in our Annual Report on Form 10-K, simplified executive compensation disclosures and being exempt from the provisions of Section 404(b) of the Sarbanes-Oxley Act requiring that an independent registered public accounting firm provide an attestation report on the effectiveness of internal control over financial reporting.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120" w:after="283"/>
        <w:jc w:val="both"/>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jc w:val="both"/>
        <w:rPr>
          <w:rFonts w:ascii="Times New Roman" w:hAnsi="Times New Roman"/>
          <w:color w:val="000000"/>
          <w:sz w:val="20"/>
        </w:rPr>
      </w:pPr>
      <w:r>
        <w:rPr>
          <w:rFonts w:ascii="Times New Roman" w:hAnsi="Times New Roman"/>
          <w:color w:val="000000"/>
          <w:sz w:val="20"/>
        </w:rPr>
        <w:t xml:space="preserve">Our management, with the participation and supervision of our Chief Executive Officer and our Chief Financial Officer, have evaluated our disclosure controls and procedures (as defined in Rules 13a-15(e) and 15d-15(e) under the Exchange Act) as of the end of the period covered by this Quarterly Report on Form 10-Q.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that evaluation, our Chief Executive Officer and Chief Financial Officer have concluded that, as of the end of the period covered by this Quarterly Report on Form 10-Q, our disclosure controls and procedures were effective at a reasonable assurance level.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the quarter ended June 30, 2026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240" w:after="283"/>
        <w:jc w:val="both"/>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legal matters as of June 30, 2026, please refer to </w:t>
      </w:r>
      <w:r>
        <w:rPr>
          <w:rFonts w:ascii="Times New Roman" w:hAnsi="Times New Roman"/>
          <w:i/>
          <w:color w:val="000000"/>
          <w:sz w:val="20"/>
        </w:rPr>
        <w:t xml:space="preserve">Note 8, Commitments and Contingencies, </w:t>
      </w:r>
      <w:r>
        <w:rPr>
          <w:rFonts w:ascii="Times New Roman" w:hAnsi="Times New Roman"/>
          <w:color w:val="000000"/>
          <w:sz w:val="20"/>
        </w:rPr>
        <w:t>which is incorporated into this item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and from time to time in the future may be involved in legal proceedings arising in the ordinary course of our business. There are currently no other claims or actions pending against us, the ultimate disposition of which we believe could have a material adverse effect on our results of operations. Regardless of outcome, litigation can have an adverse impact on us because of defense and settlement costs, diversion of management resources and other factors.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1A. Risk Factors.</w:t>
      </w:r>
    </w:p>
    <w:p>
      <w:pPr>
        <w:pStyle w:val="TextBody"/>
        <w:bidi w:val="0"/>
        <w:spacing w:before="240" w:after="283"/>
        <w:jc w:val="center"/>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contained in this Quarterly Report on Form 10-Q, including our financial statements and the related notes and the section titled “Management’s Discussion and Analysis of Financial Condition and Results of Operations,” before deciding to invest in our common stock.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If any of the following risks actually occur, our business, prospects, operating results and financial condition could suffer materially. In such event, the trading price of our common stock could decline and you might lose all or part of your investment. The risk factors set forth below that are marked with an asterisk (*) did not appear as separate risk factors in, or contain changes to the similarly titled risk factor included in Item 1A. of our Annual Report on Form 10-K, filed with the SEC on March 3, 2026.</w:t>
      </w:r>
    </w:p>
    <w:p>
      <w:pPr>
        <w:pStyle w:val="TextBody"/>
        <w:bidi w:val="0"/>
        <w:spacing w:before="120" w:after="283"/>
        <w:jc w:val="left"/>
        <w:rPr>
          <w:rFonts w:ascii="Times New Roman" w:hAnsi="Times New Roman"/>
          <w:sz w:val="20"/>
        </w:rPr>
      </w:pPr>
      <w:bookmarkStart w:id="15" w:name="item_1a_risk_factors"/>
      <w:bookmarkEnd w:id="15"/>
      <w:r>
        <w:rPr>
          <w:rFonts w:ascii="Times New Roman" w:hAnsi="Times New Roman"/>
          <w:b/>
          <w:color w:val="000000"/>
          <w:sz w:val="20"/>
        </w:rPr>
        <w:t>Risks Related to Our Limited Operating History, Financial Position and Capital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We have a history of net losses and anticipate that we will incur significant losses in the future. We have never generated any revenue from product sales and may never be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that may make it difficult to evaluate the success of our business to date and assess our future viability. We commenced operations in October 2006, have no products approved for commercial sale and have never generated any revenue. We have devoted substantially all of our resources to organizing and staffing our company, business planning, establishing and maintaining our intellectual property portfolio, raising capital, developing our product candidates, undertaking research and development activities, and providing general and administrative support for these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we entered into the Loan Agreement with Avenue Venture Opportunities Fund II, L.P. (the “Lender”), for an initial growth capital loan in the principal amount of $10,000,000 funded on March 3, 2025 (“Loan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supporting an investigator-initiated Phase 1/2 clinical trial in pediatric patients with AIPT. We completed a Phase 2b trial of Auxora in AP with accompanying SIRS and are planning the next trial in this indication, for which we have aligned with the FDA on a Phase 2b trial intended to inform the design of a potential Phase 3 development program. We previously completed a Phase 2 trial in patients with COVID-19 pneumonia with ARDS. In addition, we have conducted KOURAGE, a Phase 2 randomized, double-blind, placebo-controlled clinical trial in patients with Stage 2 or Stage 3 AKI and associated AHRF. Enrollment was paused in January 2026 following a recommendation from the Independent Data Monitoring Committee due to a safety concern relating to a mortality imbalance that warranted reevaluation of the study design. We have no current plans to resume dosing in the KOURAGE trial as we prioritize other development programs. We plan to evaluate Auxora in a Phase 1b proof-of-concept study in patients with PAH, which has not yet been initiated. We do not expect data from this planned study, if any, until mid-2027, and we cannot provide any assurances that we will obtain data within that time frame or that any data obtained will support further development of Auxora in PAH.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other pipeline programs, which include new product candidates, are in preclinical development, including CM5480, our preclinical asset and proprietary oral small-molecule CRAC channel inhibitor being developed for pulmonary hypertension. CM5480 has not been dosed in humans and will require completion of IND-enabling studies, submission of an IND, which we do not expect until mid-2027, and FDA clearance before we can commence any clinical trial. We cannot provide any assurances that we will submit an IND within that time frame, that the FDA will allow clinical trials to begin, if at all, or that any future clinical data will support further development.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an accumulated deficit of $192.0 million and net loss of $2.7 million for the six months ended June 30, 2026. Other than the three months ended March 31, 2026 and 2024, we have incurred net losses since our inception. We have never generated revenue from product sales and we expect that it will be several years, if ever, before we have a product candidate ready for commercialization. We expect to incur increasing levels of operating losses over the next several years and for the foreseeable future as we advance our product candidates through clinical development. Our prior losses, combined with expected future losses, have had and will continue to have an adverse effect on our stockholders’ equity and working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become and remain profitable, we must develop and eventually commercialize product candidates with significant market potential. This will require us to be successful in a range of challenging activities, including completing preclinical studies and clinical trials of our product candidates, obtaining marketing approval for these product candidates, finding external manufacturing capacity sufficient to meet commercial demand, marketing and selling those product candidates for which we may obtain marketing approval and satisfying any post-marketing requirements. We may never succeed in these activities and, even if we succeed in commercializing one or more of our product candidates, we may never generate revenue that is significant or large enough to achieve profitability. In addition, as a young business, we may encounter unforeseen expenses, difficulties, complications, delays and other known and unknown challenges. If we do achieve profitability, we may not be able to sustain or increase profitability on a quarterly or annual basis and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will continue to incur substantial research and development and other expenditures to develop and market additional product candidates. Our failure to become and remain profitable would decrease the value of the company and could impair our ability to raise capital, maintain our research and development efforts, expand our business or continue our operations. A decline in the value of our company could also cause you to lose all or part of your investment. </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need for additional capital raises substantial doubt about our ability to continue as a going concern. We will need to obtain substantial additional funding to complete the development and any commercialization of our product candidates. If we are unable to raise this capital when needed, on acceptable terms, or at all, we may be forced to delay, reduce or eliminate the development of our product candidates or other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we commenced operations in October 2006, we have primarily financed our operations through private placements of our preferred stock, convertible promissory notes, warrants and common stock, through the Merger with Graybug, through sales under our ATM Facility, through an underwritten public offering, and through our growth capital loan with Avenue Venture Opportunities Fund. We have used substantial amounts of cash to fund our operations and expect our expenses to increase substantially for the foreseeable future. The development of drug product candidates is highly capital intensive. As our product candidates enter and advance through preclinical studies and clinical trials, we will need substantial additional funds to expand our clinical, regulatory and quality capabilities. In addition, if we obtain marketing approval for any of our product candidates, we expect to incur significant commercialization expenses related to marketing, sales, manufacturing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Quarterly Report on Form 10-Q includes disclosures regarding management’s assessment of our ability to continue as a going concern as our current liquidity position and recurring losses from operations since inception and negative cash flows from operating activities raise substantial doubt about our ability to continue as a going concern. As of June 30, 2026, we had $18.6 million in cash and cash equivalents. Based on our current operating plans, we believe our cash and cash equivalents will be sufficient to fund our current operations into the second half of 2027. As a result, there is substantial doubt about our ability to continue as a going concern. In addition, our current cash and cash equivalents will not be sufficient to fund any of our product candidates through regulatory approval, nor will they be sufficient to initiate and complete our planned Phase 2b clinical trial of Auxora in AP, nor will they be sufficient to pursue additional indications for Auxora such as AHRF, nor will they be sufficient to fund clinical trials on other product candidates in our portfolio, and we will need to raise substantial additional capital to complete the development and any commercialization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on a basis which assumes we are a going concern and does not include any adjustments to reflect the possible future effects on the recoverability and classification of assets or the amounts and classifications of liabilities that may result from any uncertainty related to our ability to continue as a going concern.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based these estimates on assumptions that may prove to be incorrect or require adjustment as a result of business decisions, and we could utilize our available capital resources sooner than we currently expect. Our future funding requirements will depend on many factors,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progress, costs and results of our ongoing and planned clinical trials of Auxora and our ongoing and planned preclinical studies and clinical trials for our other product candidates, including CM5480;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service and comply with the terms of our outstanding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discovery research, preclinical development, laboratory testing and clinical trials for our product candidates, including our ongoing and planned clinical trials of Auxora and ongoing and planned preclinical studies and clinical trials of CM5480;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contract manufacturing arrangements for supply of active pharmaceutical ingredient (“API”) and manufacture of drug product for our product candidates and the terms of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any future commercialization activities, including product manufacturing, sales, marketing and distribution, for any of our product candidates for which we may receive marketing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and proprietary rights and defending any intellectual property-related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products, product candidates, technologies or data referencing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strategic collaborations, licensing or other arrangements and the financial terms of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payment or receipt of milestones and receipt of other collaboration-based revenues,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and development requirements for, other product candidates that we pursue;</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impacts of the ongoing or future international conflicts and potential future bank failures and international tariffs;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we do not expect to generate revenue from product candidate sales for many years, if at all, we will need to obtain substantial additional funding in connection with our continuing operations and expected increases in expenses. Until such time as we can generate significant revenue from sales of our product candidates, if ever, we expect to finance our cash needs through equity offerings, debt financings or other capital sources, including potentially grants, collaborations, licenses or other similar arrangements.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The impacts of the ongoing or future international conflicts and potential future bank failures and international tariffs on capital markets may affect the availability, amount and type of financing available to us in the future. In addition, the terms of the Loan Agreement contain certain restrictions on incurring additional indebtedness. If we are unable to raise capital when needed or on attractive terms, we would be forced to delay, reduce or eliminate our research and development programs or future commercialization efforts, reduce headcount, file for bankruptcy, reorganize, merge with another entity or cease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adversely affect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160"/>
        <w:jc w:val="both"/>
        <w:rPr>
          <w:rFonts w:ascii="Times New Roman" w:hAnsi="Times New Roman"/>
          <w:b/>
          <w:i/>
          <w:color w:val="000000"/>
          <w:sz w:val="20"/>
        </w:rPr>
      </w:pPr>
      <w:r>
        <w:rPr>
          <w:rFonts w:ascii="Times New Roman" w:hAnsi="Times New Roman"/>
          <w:b/>
          <w:i/>
          <w:color w:val="000000"/>
          <w:sz w:val="20"/>
        </w:rPr>
        <w:t>The terms of the Loan Agreement place restrictions on our operating and financial flexibility. If we raise additional capital through debt financing, the terms of any new debt could further restrict our operating and financial flexibility.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Loan Agreement includes customary affirmative and negative covenants, as well as standard events of default, including an event of default based on the occurrence of a material adverse event. The negative covenants include, among others, restrictions on us transferring collateral, incurring additional indebtedness, paying cash dividends or making other distributions, making investments, creating liens, and selling assets, in each case subject to certain exceptions. These restrictive covenants could limit our flexibility in operating our business and our ability to pursue business opportunities that we or our stockholders may consider beneficial. In addition, the Lender could declare a default upon the occurrence of an event that it interprets could have a material adverse effect, as defined in the Loan Agreement. Upon the occurrence and continuance of an event of default, the Lender may declare all outstanding obligations immediately due and payable and take such other actions as set forth in the Loan Agreement. Any declaration by the Lender of an event of default could significantly harm our business and prospects and could cause the price of our common stock to decline. We may not have enough available cash or be able to raise additional funds through equity or debt financing to repay these outstanding obligations at the time any event of default occurs. Further, if we raise any additional capital through debt financing, the terms of such additional debt could further restrict our operating and financial flexibility.</w:t>
      </w:r>
    </w:p>
    <w:p>
      <w:pPr>
        <w:pStyle w:val="TextBody"/>
        <w:bidi w:val="0"/>
        <w:jc w:val="both"/>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proprietary platform or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equity offerings, debt financings or other capital sources, including potentially grants, collaborations, licenses or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further limiting or restricting our ability to take specific actions, such as limitations on our ability to incur debt, make capital expenditures or declare dividends. For example, our Loan Agreement includes negative covenants restricting us from, among other things, transferring collateral, incurring additional indebtedness, paying cash dividends or making other distributions, making investments, creating liens and selling assets, in each case subject to certain exceptions.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raise funds through collaborations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proprietary product candidate development process or future commercialization efforts or grant rights to develop and market product candidates that we would otherwise prefer to develop and market ourselves.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proprietary platform. In addition, demands on our cash resources may change as a result of many factors currently unknown to us including, but not limited to, any unforeseen costs we may incur as a result of preclinical study or clinical trial delays, or disruptions in the manufacturing of our product candidates, due to the ongoing or future international conflicts, potential future bank failures, international tariffs or other causes, and we may need to seek additional funds sooner than planned. If we are unable to obtain funding on a timely basis or at all, we may be required to significantly curtail or stop one or more of our research or development programs, reduce headcount, file for bankruptcy, reorganize, merge with another entity or cease operations. </w:t>
      </w:r>
    </w:p>
    <w:p>
      <w:pPr>
        <w:pStyle w:val="TextBody"/>
        <w:bidi w:val="0"/>
        <w:spacing w:before="120" w:after="283"/>
        <w:jc w:val="both"/>
        <w:rPr>
          <w:rFonts w:ascii="Times New Roman" w:hAnsi="Times New Roman"/>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products and technologies, intellectual property rights, technologies or businesses. Any acquisition or strategic partnership may entail numerous risks,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assumption of indebtedness or contingent or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assimilation of operations, intellectual property and products or product candidates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diversion of our management’s attention from our existing product candidates and initiatives in pursuing such an acquisition or a strategic partnership;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retention of key employees, the loss of key personnel and uncertainties about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regulatory approvals, and the possibility of disagreements or disputes with such other party;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generate revenue from acquired products, product candidates, intellectual property rights, technologies, and/or businesses sufficient to meet our objectives in undertaking the acquisition or even to offset the associated acquisition and maintenance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we entered into the Loan Agreement with Avenue Venture Opportunities Fund II, L.P. (the “Lender”), for (i) an initial growth capital loan in the principal amount of $10,000,000 funded on March 3, 2025 (ii) up to $7,500,000 to be made available to us between September 1, 2025 and March 31, 2026, which was subject to, among other things, our achievement of certain milestones with respect to certain of our ongoing clinical trials and (iii) up to $15,000,000 to be made available to us between October 1, 2025 and March 31, 2026, which was subject to, among other things, (a) our achievement of additional milestones with respect to certain of our ongoing clinical trials and (b) the mutual written agreement of us and the Lender (upon its investment committee approval). In connection with the pause in enrollment in the KOURAGE trial, Tranche 2 and Tranche 3 are no longer available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stockholders may not approve the proposals to issue the Series A and Series B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has approved the issuance of Series A and Series B Warrants pursuant to the Purchase Agreement, and we are seeking stockholder approval of these issuances (the “Stockholder Approval”) at the Annual Meeting of our stockholders scheduled for August 19, 2026. Failure of our stockholders to approve these proposals and the resulting inability of us to issue the Warrants and the investors to exercise the Warrants for cash may materially adversely affect our future ability to raise equity or debt capital from third parties on attractive terms, if at all, and also risks significantly impairing our operations, assets and ongoing viability. In addition, if these proposals are not approved, we are obligated under the terms of the Purchase Agreement to call a special meeting of its stockholders every 90 days thereafter to seek Stockholder Approval until the earlier of (i) the date the Stockholder Approval is effective, or (ii) (A) with respect to the Series A Warrants, December 25, 2027 and (B) with respect to the Series B Warrants, June 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2031. If the proposals are not approved at the Annual Meeting of our stockholders scheduled for August 19, 2026, the Company will incur additional expenses and administrative and associated costs to satisfy this obligation to continue holding stockholder meetings to obtain Stockholder Approval and it will require additional time and attention by our Board of Directors and management, potentially diverting their focus from the pursuit of our business strategy.</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Discovery, Development and Regulatory Approval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proprietary CRAC channel inhibition science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use and expand our science to build a pipeline of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seeking to identify and develop a broad pipeline of product candidates using our proprietary CRAC channel inhibitor science to address acute critical illness and chronic inflammatory and immunologic diseases where there are no effective therapies. Our preclinical asset, CM5480, has not yet completed any clinical trials. Our most advanced product candidate, Auxora, completed a Phase 2b clinical trial and we have only completed three randomized, blinded placebo-controlled trials with Auxora to date. We are not aware of any FDA approved therapeutics utilizing similar technology. Further, the scientific evidence to support the feasibility of developing therapeutic treatments based on our proprietary CRAC channel inhibition science is both preliminary and limited. Additionally, although we have obtained FDA feedback on endpoints for our planned Phase 2b trial there are no drugs currently approved for the treatment of AP and as a result the FDA has not established the endpoints that will be required for approval in this indication. As a result, we are exposed to a number of unforeseen risks and it is difficult to predict the types of challenges and risks that we may encounter during development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the novelty of our CRAC channel inhibition science, we intend to work closely with the FDA and comparable foreign regulatory authorities to perform the requisite scientific analyses and evaluation of our methods to obtain regulatory approval for our product candidates; however, due to a lack of relevant experience with the indications that we are pursuing, the regulatory pathway with the FDA and comparable regulatory authorities may be more complex and time-consuming. There can be no assurance as to the length of clinical development, the number of patients that the FDA may require to be enrolled in clinical trials to establish the safety and efficacy of our product candidates, or that the data generated in these clinical trials will be acceptable to the FDA to support marketing approvals. We cannot be certain that our approach will lead to the development of approvable or marketable products, alone or in combination with other therapies. If we are unable to develop, or obtain regulatory approval for, or, if approved, successfully commercialize our product candidates, we may not be able to generate sufficient revenue to continue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business is highly dependent on the success of our product candidates, in particular CM5480 and Auxora, and we may fail to develop CM5480 or Auxora successfully or be unable to obtain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success is dependent on our ability to complete clinical trials in a timely and successful manner and obtain marketing approval for and successfully commercialize CM5480, our preclinical asset, and Auxora, our most advanced product candidate. We are investing the majority of our efforts and financial resources in the research and development of Auxora for multiple indications. Auxora is currently in an ongoing Phase 1/2 clinical trial, for which the first cohort was completed, in pediatric patients with AIPT as a side effect of pediatric acute lymphoblastic leukemia treatment with asparaginase. We also initiated a Phase 2 trial of Auxora in AKI in July 2024, which we refer to as KOURAGE. In January 2026, dosing and enrollment in KOURAGE were paused following a recommendation from the Independent Data Monitoring Committee due to a safety concern relating to a mortality imbalance that warranted reevaluation of the study design. Following FDA's review of our protocol amendment and a comprehensive safety assessment that did not identify evidence of drug-related toxicity, we were notified that FDA had no comments on our submission and no clinical hold communication, and dosing may resume under the amended protocol; however, we currently have no plans to resume dosing in KOURAGE as we prioritize other development programs. Auxora was also studied in a completed Phase 2b clinical trial in AP and accompanying SIRS. Following a Type C meeting with the FDA, we announced in July 2026 that we are advancing preparations for a potential subsequent Phase 2b clinical trial of Auxora in AP that is intended to inform the design of a potential Phase 3 development program. We have not yet initiated that trial, and its initiation is subject to our ability to obtain additional financing. We also completed a Phase 2 trial in COVID-19 pneumonia patients with ARDS which may inform the design of clinical development in AHRF and/or ARDS due to a broad range of etiologies. We also plan to evaluate Auxora in a planned Phase 1b proof-of-concept study in PAH, and we cannot provide any assurances that this planned study will be initiated or completed on the timeline we expect, if at all, or that any resulting data will support the continued development of Auxora in PAH. We also have additional preclinical product candidates, including CM5480, our preclinical asset and proprietary oral CRAC channel inhibitor candidate for pulmonary hypertension, that will need to progress through IND application enabling studies prior to clinical development. None of our product candidates have advanced into a late-stage or pivotal trials for the indications for which we are pursuing development. Our ability to generate product revenues, which we do not expect will occur for many years, if ever, will depend heavily on the successful development and eventual commercialization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certain of our employees have prior experience with clinical trials, regulatory approvals and manufacturing of pharmaceutical products, we have not previously completed any late-stage or pivotal clinical trials or submitted a new drug application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(“NDA”) to the FDA or regulatory approval filings to comparable foreign authorities for any product candidate, and Auxora may not be successful in clinical trials and may not receive any regulatory approval. The FDA and other comparable global regulatory authorities can delay, limit or deny approval of a product candidate for many reasons. Any delay in obtaining, or inability to obtain, applicable regulatory approval will delay or harm our ability to successfully commercialize Auxora and harm our business, financial condition,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if our clinical trials of Auxora or our other product candidates encounter safety, efficacy or manufacturing problems, development delays, regulatory issues or other problems, our development plans for Auxora and our other product candidates in our pipeline could be significantly impaired, which could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business, including our ability to finance our company and generate any revenue in the future, will primarily depend on the successful development, regulatory approval and commercialization of our product candidates, which may never occur. We have not yet succeeded and may not succeed in demonstrating efficacy and safety for any product candidate in late-stage clinical trials for regulatory approval or in obtaining marketing approval thereafter.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Clinical development is a lengthy, expensive and uncertain process. The results of preclinical studies and early clinical trials are not always predictive of future results. Any product candidate that we advance into clinical trials may not achieve favorable results in later clinical trials, if any, or receive marketing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research and development of drugs is extremely risky. Only a small percentage of programs that enter the clinical development process ever receive marketing approval. Before obtaining marketing approval from regulatory authorities for the sale of our product candidates, we must conduct extensive clinical trials to demonstrate the safety and efficacy of the product candidate in humans. Clinical testing is expensive, can take many years to complete and its outcome is uncertain.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preclinical studies and early clinical trials of product candidates, even those with the same or similar mechanisms of action, may not be predictive of the results of later-stage clinical trials. Product candidates in later stages of clinical trials may fail to show the desired safety and efficacy characteristics despite having progressed through preclinical studies and initial clinical trials. While we have previously received results, some preliminary, from three randomized, blinded placebo-controlled trials, one small blinded randomized SOC controlled trial, one small randomized open-label placebo-controlled trial, one small open-label single site trial, and one small open label investigator sponsored clinical trial, we do not know how Auxora will perform in the ongoing Phase 2 clinical trials or in future clinical trials with larger sample sizes. Results of clinical trials with smaller sample sizes, such as our completed SOC-controlled Phase 2a clinical trial of Auxora in 21 patients with AP and accompanying SIRS plus hypoxemia, can be disproportionately influenced by various biases associated with the conduct of small clinical trials, such as the potential failure of the smaller sample size to accurately depict the features of the broader patient population, which limits the ability to generalize the results across a broader community, thus making the clinical trial results less reliable than clinical trials with a larger number of patients. In general, clinical trial failure may result from a multitude of factors including flaws in trial design, dose selection, patient enrollment criteria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not completed any clinical trials that the FDA has confirmed or accepted as late-stage or pivotal clinical trials for any of our product candidates. We cannot guarantee that any clinical trials will be initiated or conducted as planned or completed on schedule, if at all. We also cannot be sure that submission of an IND or similar application will result in the FDA or other regulatory authority, as applicable, allowing clinical trials to begin in a timely manner, if at all.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even if these trials begin, issues may arise that could cause regulatory authorities to suspend or terminate such clinical trials. A failure of one or more clinical trials can occur at any stage of testing, and our future clinical trials may not be successful. Any of these events could cause delays and interruptions in our clinical trials, which could adversely affect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delays in site initiation and patient enrollment, failures to comply with study protocols, delays in the manufacture of our product candidates for clinical testing and other difficulties in starting or completing our clinical trials. Other events that may prevent successful or timely completion of clinical development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generate sufficient preclinical, toxicology, or other in vivo or in vitro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agencies, the FDA or foreign regulatory authorities, on trial design or implementation;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clinical research organizations (“CROs”), and clinical trial sites, the terms of which can be subject to extensive negotiation and may vary significantly among different CROs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identifying, recruiting and training suitable clinical investigators;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required institutional review board (“IRB”) or independent ethics committee (“IEC”)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recruiting suitable patients to participate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agencies for a number of reasons, including after review of an IND or amendment or equivalent foreign application or amendment, as a result of a new safety finding that presents unreasonable risk to clinical trial participants, or after a negative finding from an inspection of our clinical trial operations or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our CROs, other third parties or us to adhere to the trial protocol or good clinical practice (“GCP”);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third-party contractors or clinical investigators becoming debarred or suspended or otherwise penalized by the FDA or other comparable foreign regulatory authorities for violations of applicable regulatory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the testing, validation, manufacturing and delivery of our product candidates to the treatment sites, including due to supply or manufacturing related delays, being ordered by the FDA or comparable foreign regulatory authorities to temporarily or permanently shut down due to violations of current good manufacturing practices (“cGMP”), regulations or other applicable requirements, or infections or cross-contaminations of our product candidates in the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having subjects’ complete participation in a study or return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the clinical trial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sites or subjects deviating from the trial protocol or dropping out of a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SOC on which a clinical development plan was based, which may require new or additional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selection of clinical endpoints that require prolonged periods of observation or analyses of resulting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preclinical studies or clinical trials of our product candidates being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studies or clinical trials of our product candidates producing negative or inconclusive results, which may result in our deciding, or regulators requiring us, to conduct additional clinical trials or abandon development of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transfer of manufacturing processes to larger-scale facilities operated by a contract manufacturing organization, and delays or failure by our such manufacturers or us to make any necessary changes to such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adverse events (“AEs”) associated with the product candidate that are viewed to outweigh its potential benefits, or occurrence of an AE in a trial of the same class of agents as our product candidate conducted by other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a significant portion of our CARPO trial in India and, to the extent that we conduct clinical trials in foreign countries, the failure of enrolled subjects in foreign countries to adhere to clinical protocols as a result of differences in SOC, provision of healthcare services or cultural customs;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in different geographies, including foreign countries, may show differences in clinical outcomes than expected due to differences in underlying disease etiologies or genetic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clinical trials in a foreign country may also present additional administrative burdens or delays associated with foreign regulatory schemes including different requirements for clinical trial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clinical trials in a foreign country may introduce political and economic risks relevant to such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receiving untimely or unfavorable feedback from applicable regulatory authorities regarding the trial or requests from regulatory authorities to modify the design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suspensions or terminations by us, the IRBs (or the IECs) of the institutions at which such trials are being conducted, by the data safety monitoring board (“DSMB”), for such trial or by regulatory authorities due to a number of factors, including those described above;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adequate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and other governmental agencies caused by funding or staffing shortages.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disruptions caused by international conflicts may increase the likelihood that we encounter such difficulties or delays in initiating, enrolling, conducting or completing our planned and ongoing preclinical studies and clinical trials. Any inability to successfully complete preclinical and clinical development could result in additional costs to us or impair our ability to raise capital, generate revenues from product candidate sales and enter into or maintain collaboration arrangements. For example, if enrollment in a clinical trial is slowed, certain of our expenses related to the trial would not decrease and therefore the overall costs to complete the trial would increase. In addition, if we make manufacturing changes to our product candidates, we may need to conduct additional studies to bridge our modified product candidates to earlier versions. Clinical trial delays could also shorten any periods during which we may have the exclusive right to commercialize our product candidates or allow our competitors to bring product candidates to market before we do, which could impair our ability to successfully commercialize our product candidates and may harm our business and results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One of our product candidates is, and potential future product candidates may be, developed for the treatment of a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trials are more dependent on a smaller number of specialized clinical trial sites, which in turn can limit site availability and make the trials more expensive to conduct. In addition, as interest in pediatric indications grows as a result of the Research to Accelerate Cures and Equity Act and other market forces, trial recruitment may become even more difficult due to competition for eligible patients. Moreover, it may be challenging to ensure that pediatric or adolescent patients adhere to clinical trial protocols.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an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conducted a significant portion of our CARPO trial in India, and regulatory authorities may not accept data from such trial or any future clinical trials we conduct outside the United States or the applicable foreign jurisdiction.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conducted a significant portion of our CARPO trial in India. The acceptance of trial data from clinical trials conducted outside the United States or another jurisdiction by the FDA or comparable non-U.S. regulatory authorities may be subject to certain conditions or may not be accepted at all. In cases where data from non-U.S. clinical trials are intended to serve as the basis for marketing approval in the United States, the FDA will generally not approve the application on the basis of non-U.S.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non-U.S. regulatory authorities have similar approval requirements. In addition, such non-U.S. trials would be subject to the applicable local laws of the non-U.S. jurisdictions where the trials are conducted. There can be no assurance that the FDA or any comparable non-U.S. regulatory authority will accept data from trials conducted outside of the United States or the applicable jurisdiction. If the FDA or any comparable non-U.S. regulatory authority does not accept such data or believes that additional data is necessary to supplement such data, it would result in the need for additional trials, which would be costly and time-consuming and delay aspects of our business plan, and which may result in product candidates that we may develop not receiving approval for commercialization in the applicable jurisdiction.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Conducting clinical trials outside the United States also exposes us to additional risks, including risks associated with: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of enrolled subjects in foreign countries to adhere to clinical protocol as a result of differences in SOC;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cultural differences in medical practice and clinical research;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We depend on enrollment of patients in our clinical trials for our product candidates. If we experience delays or difficulties enrolling patients in our clinical trials, our research and development efforts and business, financial condition, results of operations and prospects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and timely completion of clinical trials will require that we enroll a sufficient number of patients to participate in each study. These trials may be subject to delays for a variety of reasons, including as a result of patient enrollment taking longer than anticipated, subject withdrawal from the trial or AEs. These types of developments could cause us to delay the trial or halt further development. 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clinical trial.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Participant enrollment in clinical trials depends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eligibility criteria for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of patients to clinical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clinical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and maintain research subject consents;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competing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perceptions of risk in traveling to clinical sites (for patients in non-hospitalized clinical trial settings);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new drugs approved for the indication the clinical trial is investigating;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 </w:t>
      </w:r>
    </w:p>
    <w:p>
      <w:pPr>
        <w:pStyle w:val="TextBody"/>
        <w:bidi w:val="0"/>
        <w:spacing w:before="120" w:after="283"/>
        <w:jc w:val="both"/>
        <w:rPr>
          <w:rFonts w:ascii="Times New Roman" w:hAnsi="Times New Roman"/>
          <w:sz w:val="20"/>
        </w:rPr>
      </w:pPr>
      <w:r>
        <w:rPr>
          <w:rFonts w:ascii="Times New Roman" w:hAnsi="Times New Roman"/>
          <w:b/>
          <w:i/>
          <w:color w:val="000000"/>
          <w:sz w:val="20"/>
        </w:rPr>
        <w:t>Preliminary, interim and topline data from our clinical trials may change as more participant data becomes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publicly disclose preliminary, interim or topline data from our preclinical studies and clinical trials, which is based on a preliminary analysis of then-available data, and the results and related findings and conclusions are subject to change as participant enrollment and treatment continues and more data become available. Our data to date is based on a small number of subjects, and as a result, data from additional subjects can have a significant impact on the overall data viewed as a whole. Adverse differences between previous preliminary or interim data and future interim or final data could significantly harm our business prospects. We may also announce topline data following the completion of a preclinical study or clinical trial, which may be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to be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SAEs, undesirable side effects or other unexpected properties of our product candidates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we continue developing Auxora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clinical trials by their nature utilize a sample of the potential patient population. With a limited number of subjects and limited duration of exposure, rare and severe side effects of our product candidates may only be uncovered with a significantly larger number of patients exposed to our therapies. Because of our planned dose escalation design for our clinical trials, undesirable side effects could also result in an expansion in the size of our clinical trials, increasing the expected costs and timeline of our clinical trials. Additionally, results of our clinical trials could reveal a high and unacceptable severity and prevalence of side effects or unexpected characteristics, which may stem from our product candidates specifically or may be due to an illness from which the clinical trial subject is suffering.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unacceptable side effects arise in the development of our product candidates such that there is no longer a positive benefit risk,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For example, following a recommendation from the Independent Data Monitoring Committee (“IDMC”), we paused enrollment in our Phase 2 KOURAGE trial of Auxora due to a safety concern relating to a mortality imbalance that warranted reevaluation of the study design. In addition,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believe our product candidates initially show promise in early clinical trials, side effects of product candidates may only be detectable after they are tested in larger, longer and more extensive clinical trials or, in some cases, after they are made available to patients on a commercial scale after approval. Sometimes, it can be difficult to determine if the serious adverse or unexpected side effects were caused by the product candidate or another factor. If serious adverse or unexpected side effects are identified during development or after approval (including pursuant to any toxicity studies, including reproductive toxicity studies) and are determined to be attributed to our product candidates, we may be required to develop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Product-related side effects could also result in potential product liability claims. Any of these occurrences may harm our business, financial condition,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if one or more of our product candidates receives marketing approval, and we or others later identify undesirable side effects caused by such product candidates, a number of potentially significant negative consequences could result,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suspend, withdraw or limit approvals of such product candidate, or seek an injunction against its manufacture or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additional warnings on the label, including “boxed” warnings, or issue safety alerts, Dear Healthcare Provider letters, press releases or other communications containing warnings or other safety information about the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product candidate may become less competitive;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decide to remove the product candidate from the marketplace;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seriously harm our business.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various designations by the regulatory authorities for any product candidates that we develop, such as Fast Track designation or Breakthrough Therapy designation.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product candidate is intended for the treatment of a serious condition and nonclinical or clinical data demonstrate the potential to address unmet medical need for this condition, a product sponsor may apply for Fast Track designation from the FDA. The sponsor of a product candidate with Fast Track designation has opportunities for more frequent interactions with the applicable FDA review team during product development and, once an NDA is submitted, the candidate may be eligible for priority review if the relevant criteria are met. A product candidate with Fast Track designation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have received Fast Track designation for Auxora for the treatment of AP, and we may receive Fast Track designation for other product candidates in the future; however, we may not experience a faster development process, review or approval compared to conventional FDA approval timelines, and the FDA may still decline to approve Auxora or our other designated product candidates. The FDA may rescind the Fast Track designation if it believes that the designation is no longer supported by data from our clinical development program or for any other reason.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Breakthrough Therapy is defined by the FDA as a drug or biologic that is intended, alone or in combination with one or more other drugs or biologics,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 designation also includes all of the Fast Track designation benefits, including eligibility for rolling review of an NDA submission.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whether and when we may have the data from our clinical programs to support an application to obtain any such designation is uncertain. Even if we do receive the designations we may apply for, we may not experience a faster development process, review or approval compared to conventional FDA or similar foreign regulatory authorities’ procedures, as applicable. The FDA or similar foreign regulatory authorities, as applicable, may rescind any granted designations if it believes that the designation is no longer supported by data from our clinical development program.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seek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Similarly, in the European Union, the European Commission grants orphan drug designation after receiving the opinion of the European Medicines Agency (“EMA”) Committee for Orphan Medicinal Products on an orphan drug designation application. Orphan drug designation is intended to promote the development of drugs that are (1) intended for the diagnosis, prevention or treatment of life-threatening or chronically debilitating conditions; (2) either (a) affecting not more than five in 10,000 persons in Europe, or (b) when, without incentives, it is unlikely that sales of the drug in Europe would be sufficient to justify the necessary investment in developing the drug; and (3) for which no satisfactory method of diagnosis, prevention, or treatment has been authorized (or if such a method exists, the product will be of significant benefit to those affected by the condition). In Europe, orphan drug designation entitles a party to a number of incentives, such as protocol assistance and scientific advice specifically for designated orphan medicines, and potential fee reductions depending on the status of the sponsor. We have received orphan drug designation for Auxora for the treatment of AP in the European Union, and we may receive orphan drug designation for other product candidates in the future; however, we may not experience a faster development process, review or approval compared to conventional approval timelines, and the European Commission and EMA may still decline to approve Auxora or our other designated product candidates. The European Commission and EMA may rescind the orphan drug designation if it believes that the designation is no longer supported by data from our clinical development program or for any other reason.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or similar drug and indication for that time period, except in limited circumstances. The applicable period is seven years in the United States and ten years in Europe. The European exclusivity period can be reduced to six years if, at the end of the fifth year, it is established that the drug no longer meets the criteria for orphan drug designation or if the drug is sufficiently profitable such that market exclusivity is no longer justified.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obtain orphan drug exclusivity for any of our product candidates that obtain approval, that exclusivity may not effectively protect those product candidates from competition because different therapies can be approved for the same condition. Even after an orphan drug is approved, the FDA or comparable foreign authorities can subsequently approve another drug for the same condition if the relevant authority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we may not enjoy the benefits of those designations.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or other regulatory authorities, if our confirmatory trials do not verify clinical benefit, or if we do not comply with rigorous post-marketing requirements, the FDA or foreign regulatory authorities may seek to withdraw accelerated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such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candidates would result in a longer time period to commercialization of such product candidates, if any, could increase the cost of development of such candidates and could harm our competitive position in the marketplace. </w:t>
      </w:r>
    </w:p>
    <w:p>
      <w:pPr>
        <w:pStyle w:val="TextBody"/>
        <w:bidi w:val="0"/>
        <w:spacing w:before="120" w:after="283"/>
        <w:jc w:val="both"/>
        <w:rPr>
          <w:rFonts w:ascii="Times New Roman" w:hAnsi="Times New Roman"/>
          <w:sz w:val="20"/>
        </w:rPr>
      </w:pPr>
      <w:r>
        <w:rPr>
          <w:rFonts w:ascii="Times New Roman" w:hAnsi="Times New Roman"/>
          <w:b/>
          <w:i/>
          <w:color w:val="000000"/>
          <w:sz w:val="20"/>
        </w:rPr>
        <w:t>Our product candidates must meet extensive regulatory requirements before they can be commercialized and any regulatory approval may contain limitations or conditions that require substantial additional development expenses or limit our ability to successfully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commencement of clinical trials and can vary substantially based upon the type, complexity and novelty of the product candidates involved, as well as the target indications and patient population. Despite the time and expense invested in clinical development of product candidates, regulatory approval is never guaranteed.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not submitted an NDA or other marketing authorization application to the FDA or similar drug approval submissions to comparable foreign regulatory authorities for any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to obtaining approval to commercialize a product candidate in the United States or abroad, we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Even if we believe the preclinical or clinical data for our product candidates are promising, such data may not be sufficient to support approval by the FDA and comparable foreign regulatory authorities. In particular, because we are seeking to identify and develop product candidates using new technologies, there is heightened risk that the FDA or other regulatory authorities may impose additional requirements prior to granting marketing approval, including enhanced safety studies or monitoring. Furthermore, as more product candidates within a particular class of products proceed through clinical development to regulatory review and approval, the amount and type of clinical data that may be required by regulatory authorities may increase or change.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comparable foreign regulatory authorities can delay, limit or deny approval of a product candidate for many reasons,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with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ambiguous results from our clinical trials or results may not meet the level of statistical significance required by the FDA or comparable foreign regulatory agencies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product candidate-related side effects may be experienced by participants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results from preclinical toxicity studies that will be completed in conjunction with late stage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not accept clinical data from trials which are conducted at clinical facilities or in countries where the SOC is potentially different from that of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not agree that the data collected from clinical trials of our product candidates are acceptable or sufficient to support the submission of an application for regulatory approval or other submissions or to obtain regulatory approval in the United States or elsewhere and such authorities may impose requirements for additional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regarding the formulation, labeling and/or the specifications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may be granted only for indications that are significantly more limited than what we apply for and/or with other significant restrictions on distribution and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find deficiencies in the manufacturing processes or facilities of our or our third-party suppliers or manufacturers with which we or any of our potential future collaborators contract for clinical and commercial supplies;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such authorities may significantly change in a manner rendering our or any of our potential future collaborators’ clinical data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respect to foreign markets, approval procedures vary among countries and, in addition to the foregoing risks, may involve additional product candidate testing, administrative review periods and agreements with pricing authorities. In addition, events raising questions about the safety of certain marketed pharmaceuticals may result in increased cautiousness by the FDA and comparable foreign regulatory authorities in reviewing new products based on safety, efficacy or other regulatory considerations and may result in significant delays in obtaining regulatory approvals.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eventually complete clinical trials and receive approval to commercialize our product candidates, the FDA or comparable foreign regulatory authority may grant approval contingent on the performance of costly additional clinical trials, including Phase 4 clinical trials, and/or the implementation of a REMS. The FDA or the comparable foreign regulatory authority also may approve a product candidate for a more limited indication or patient population than we originally requested or may not approve the labeling that we believe is necessary or desirable for the successful commercialization of a product candidate. Manufacturers of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candidates and manufacturers’ facilities are also required to comply with cGMP regulations and other similar regulatory requirements, which include requirements related to quality control and quality assurance, as well as the corresponding maintenance of records and documentation. Further, regulatory authorities must approve these manufacturing facilities before they can be used to manufacture our product candidates, if approved, and these facilities are subject to continual review and periodic inspections by the FDA and other comparable foreign regulatory authorities for compliance with cGMP regulations and other similar regulatory requirements.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delay in obtaining, or inability to obtain, applicable regulatory approval would delay or prevent commercialization of that product candidate and could adversely impact our business, financial condition, results of operations and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We will need to obtain FDA approval of any proposed product names, including Auxora, and any failure or delay associated with such approval may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name we intend to use for our current or future product candidates will require approval from the FDA regardless of whether we have secured a formal trademark registration from the United States Patent and Trademark Office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any goodwill or brand recognition developed for previously used names and marks as well as the benefit of our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both"/>
        <w:rPr>
          <w:rFonts w:ascii="Times New Roman" w:hAnsi="Times New Roman"/>
          <w:sz w:val="20"/>
        </w:rPr>
      </w:pPr>
      <w:r>
        <w:rPr>
          <w:rFonts w:ascii="Times New Roman" w:hAnsi="Times New Roman"/>
          <w:b/>
          <w:i/>
          <w:color w:val="000000"/>
          <w:sz w:val="20"/>
        </w:rPr>
        <w:t>Even if we receive regulatory approval for any of our product candidates,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FDA, EMA or any other comparable foreign regulatory authority approves any of our product candidates, the manufacturing processes, labeling, packaging, distribution, adverse event reporting, storage, advertising, promotion and recordkeeping for the drug product will be subject to extensive and ongoing regulatory requirements. These requirements include submissions of safety and other post-marketing information and reports, registration requirements and continued compliance with cGMPs and GCP requirements, for any clinical trials that we conduct post-approval.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any regulatory approvals that we receive for our present or future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Later discovery of previously unknown problems with a product candidate, including AEs of unanticipated severity or frequency, or with our third-party manufacturers or manufacturing processes, or failure to comply with regulatory requirements, may result in,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the product candidate, withdrawal of the product candidate from the market, or voluntary or mandatory product candidate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untitled or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the EMA or any other comparable foreign regulatory authority to approve pending applications or supplements to approved applications filed by us, or suspension or revocation of product candidate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candidate seizure or detention, or refusal to permit the import or export of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The occurrence of any event or penalty described above may inhibit our or our collaborators’ ability to commercialize our product candidates, and harm our business, financial condition,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other regulatory authority requirements, including ensuring that quality control and manufacturing procedures conform to cGMP regulations. As such, we and our contract manufacturers will be subject to continual review and inspections to assess compliance with cGMP and adherence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commitments made in any NDA, other marketing application and previous responses to inspectional observations made by regulatory authorities. Accordingly, we and others with whom we work must continue to expend time, money and effort in all areas of regulatory compliance, including manufacturing, production and quality control.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120" w:after="283"/>
        <w:jc w:val="both"/>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could adversely affect our business, financial condition, results of operations and prospects.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statutory, regulatory and policy changes,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including executive orders,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such as the EMA, following its relocation to Amsterdam and corresponding staff changes, that fund research and development activities is subject to the political process, which is inherently fluid and unpredictable. Disruptions at the FDA and other agencies may also slow the time necessary for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including the recent 43-day government shutdown in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another prolonged government shutdown or slowdown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identify or discover other product candidates and may fail to capitalize on our proprietary platform or product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CRAC channel inhibitor science.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indications may require changes to our manufacturing processes,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research methodology or technology platform used may not be successful in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develop alternatives that render our product candidates obsolete or less attractive;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choose to cease development if we determine that clinical results do not show promise;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candidates we develop may nevertheless be covered by third parties’ patents or other exclusive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be shown to have harmful side effects or other characteristics that indicate it is unlikely to be effective or otherwise does not meet applicable regulatory criteria;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accepted as safe and effective by patients, the medical community or third-party payors.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indication,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120" w:after="283"/>
        <w:jc w:val="both"/>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 programs in clinical trials and may face an even greater risk if we commercialize any product candidate that we may develop. If we cannot successfully defend ourselves against claims that any such product candidate programs caused injuries, we could incur substantial liabilities. Regardless of merit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product candidate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time and 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insurance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 candidate that we may develop;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such outcomes could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Manufacturing, Commercialization and Reliance on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rely on third parties to conduct and perform most of our research, preclinical studies and clinical trials. If these third parties do not satisfactorily carry out their contractual duties, fail to comply with applicable regulatory requirements, fail to meet projected clinical trial enrollment schedules or fail to meet expected deadlines, our development programs may be delayed or subject to increased costs, each of which may have an adverse effect on our business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the ability to conduct most aspects of our preclinical studies or clinical trials in-house. As a result, we are and expect to remain dependent on third parties to conduct or otherwise support our ongoing clinical trials and any future clinical trials of our product candidates. Specifically, CROs, clinical investigators, and consultants play a significant role in the conduct of these trials and the subsequent collection and analysis of data. However, we will not be able to control all aspects of their activities. Nevertheless, we are responsible for ensuring that each of our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the Competent Authorities of the member states of the EEA, and comparable foreign regulatory authorities for all of our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or comparable foreign regulatory authorities may require us to perform additional clinical trials before approving our marketing applications. In addition, our clinical trials must be conducted with investigational product produced under cGMP regulations (and similar foreign requirements). Our failure to comply with these regulations may require us to stop and/or repeat clinical trials, which would delay the marketing approval process.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CROs, clinical trial investigators or other third parties on which we rely may not devote adequate time and resources to our development activities or perform as contractually required. If any of these third parties fail to meet expected deadlines, adhere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protocols or meet regulatory requirements, otherwise performs in a substandard manner, or terminates its engagement with us, the timelines for our development programs may be extended or delayed or our development activities may be suspended or terminated. If any of our clinical trial sites terminates for any reason, we may experience the loss of follow-up information on subjects enrolled in such clinical trials unless we are able to transfer those subjects to another qualified clinical trial site, which may be difficult or impossible. In addition, clinical trial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any comparable foreign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marketing application we submit by the FDA or any comparable foreign regulatory authority. Any such delay or rejection could prevent us from commercializing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Further, under certain circumstances, these third parties may terminate their agreements with us upon as little as 30 days prior written notice. Entering into arrangements with alternative CROs, clinical trial investigators or other third parties involves additional cost and requires management focus and time, in addition to requiring a transition period when a new CRO, clinical trial investigator or other third party begins work.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with respect to investigator-sponsored trials being conducted with Auxora (the CRSPA trial with St. Jude Children’s Research Hospital) and may be conducted in the future, we do not and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or clinical data generated by these investigator-sponsored trials, or our interpretation of preclinical, manufacturing or clinical data from these investigator-sponsored trials. If so, the FDA may require us to obtain and submit additional preclinical or clinical data.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contract with third parties for the manufacturing and supply of certain goods and services for our product candidates for use in preclinical studies and clinical trials, which supply may become limited or interrupted or may not be of satisfactory quality and quantity.*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any manufacturing facilities. We rely on third parties for the manufacture of our product candidates for preclinical testing and all of our product candidates for clinical testing and we will continue to rely on such third parties for commercial manufacture if any of our product candidates are approved. We currently have limited manufacturing arrangements for preclinical and clinical trial materials for each of our product candidates, including Auxora, and one component of the latter is provided by a single source supplier in China, and will continue to be for the intermediate future. In addition, our single source supplier in China and any other foreign suppliers we may utilize in the future may be subject to U.S. legislation, sanctions, trade restrictions and other foreign regulatory requirements, which may limit, delay, prevent or impair our ability to obtain preclinical and clinical trial materials for our product candidates. For example, the United States has recently passed legislation, namely the BIOSECURE Act (the “BIOSECURE Act”),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prohibit U.S. federal executive agencies from procuring or obtaining any biotechnology equipment or service produced or provided by a “biotechnology company of concern” or entering into or renewing a contract, loan, or grant with an entity that uses such biotechnology equipment or equipment. Specifically,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The Office of Management and Budget (OMB) of the U.S. Government will issue a list of “biotechnology companies of concern” no later than December 18, 2026,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We are currently party to agreements with Wuxi Apptec, which was designated on the 1260H List on June 8, 2026. There is a “safe harbor” provision providing that the restrictions do not apply to equipment or services that were formerly but are no longer provided by a BCC, as well as a “grandfathering” provision providing that the prohibitions shall not apply for a five-year period to biotechnology equipment or services produced or provided under a contract or agreement entered into before the applicable effective date. If Wuxi Apptec is designated as a “biotechnology company of concern” by OMB, we may be restricted in our ability to work with such company to the extent we would contract with, or otherwise receive funding from, the U.S. government. This reliance increases the risk that we will not have sufficient quantities of our product candidates or products, if approved, or such quantities at an acceptable cost or quality, which could delay, prevent or impair our development or commercialization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all entities involved in the preparation of product candidates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GLP regulations and cGMP regulations enforced by the FDA through its facilities inspection program. Comparable foreign regulatory authorities may require compliance with similar requirements. Our facilities and quality systems, and those of our third-party contract manufacturers, must pass a pre-approval inspection for compliance with the applicable regulations as a condition of marketing approval of our product candidates. We do not control the manufacturing activities of, and are completely dependent on, our contract manufacturers for compliance with cGMP regulations, although the FDA will hold us responsible for any such non-compliance with respect to our product candidates and any future approved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that any of our contracted third parties fails to comply with such requirements or to perform their obligations to us in relation to quality, timing or otherwise, or if our supply of components or other materials becomes limited or interrupted for other reasons, including due to the ongoing or future international conflicts or other geopolitical or macroeconomic conditions, including international tariffs,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a third-party contractor could require significant effort and expertise because there may be a limited number of qualified replacements. In some cases, the technical skills or technology required to manufacture a certain aspect of our product candidates may be unique or proprietary to the third-party performing such process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we attempt to establish new third-party arrangements for these product candidates or methods. If we are required to or voluntarily change a third-party contractor for any reason, we will be required to verify that the new third party maintains facilities, processes and procedures that comply with quality standards and with all applicable regulations and guidelines. The delays associated with the verification of a new manufacturer could negatively affect our ability to develop product candidates in a timely manner or within budget.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third-party’s failure to execute on our manufacturing and supply requirements, do so on commercially reasonable terms and comply with cGMP could adversely affect our business in a number of ways,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approval, to initiate or continue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submitting regulatory applications, or receiving marketing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the cooperation of future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subjecting our or any third-party manufacturing facilities to additional inspections by regulatory authorities;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requirements to cease development to market and commercialize our product candidates, an inability to meet commercial demands for our current or any other future product candidates, if approved. </w:t>
      </w:r>
    </w:p>
    <w:p>
      <w:pPr>
        <w:pStyle w:val="TextBody"/>
        <w:bidi w:val="0"/>
        <w:spacing w:before="120" w:after="283"/>
        <w:jc w:val="both"/>
        <w:rPr>
          <w:rFonts w:ascii="Times New Roman" w:hAnsi="Times New Roman"/>
          <w:sz w:val="20"/>
        </w:rPr>
      </w:pPr>
      <w:r>
        <w:rPr>
          <w:rFonts w:ascii="Times New Roman" w:hAnsi="Times New Roman"/>
          <w:b/>
          <w:i/>
          <w:color w:val="000000"/>
          <w:sz w:val="20"/>
        </w:rPr>
        <w:t>Any approved product candidates may fail to achieve the degree of market acceptance by physicians, patients, hospitals,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product candidates receives marketing approval, they may nonetheless fail to gain sufficient market acceptance by physicians, patients, healthcare payors and others in the medical community. Our CRAC channel inhibitors are a relatively novel technology, and no CRAC channel inhibitor-based therapy has been approved to date. Public perception may be influenced by third-party claims, such as claims that CRAC channel inhibitors are unsafe, ineffective and, consequently, our approach may not gain the acceptance of the public or the medical community. The degree of market acceptance of our product candidates, if approved for commercial sale, will depend on a number of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efficacy and potential advantages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offer our product candidates for sale at competitive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payors, for our products, if approved by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marketing and distribution support;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Auxora is an injectable emulsion drug product that must be administered intravenously over four hours, and this dosing regimen may be inconvenient for some physicians or patients.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product candidates do not achieve an adequate level of acceptance, we may not generate significant product revenue and we may not become profitable.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be able to successfully commercialize our product candidates due to unfavorable pricing regulations or third-party coverage and reimbursement policies, which could make it difficult for us to sell our product candidates profitably.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who are prescribed medications for the treatment of their conditions, and their prescribing physicians, generally rely on third-party payors to reimburse all or part of the costs associated with those medications. Patients are unlikely to use our product candidates unless coverage is provided and reimbursement is adequate to cover all or a significant portion of the cost of our product candidates. Therefore, coverage and adequate reimbursement are critical to a new product’s acceptance. Coverage decisions may depend upon clinical and economic standards that disfavor new products when more established or lower cost therapeutic alternatives are already available or subsequently become available.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significant uncertainty related to the insurance coverage and reimbursement of newly approved products. In the United States, there is no uniform policy among third-party payors for coverage and reimbursement. Third-party payors often rely upon Medicare coverage policy and payment limitations in setting reimbursement policies, but also have their own methods and approval process apart from Medicare coverage and reimbursement determinations. Therefore, one third-party payor’s determination to provide coverage for a product does not assure that other payors will also provide coverage for the product.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Coverage and reimbursement by a third-party payor may depend upon a number of factors, including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time-consuming and costly process, with uncertain results, that could require us to provide supporting scientific, clinical and cost effectiveness data for the use of our product candidates to the payor. There may be significant delays in obtaining such coverage and reimbursement for newly approved product candidates, and coverage may not be available, or may be more limited than the purposes for which the product is approved by the FDA or comparable foreign regulatory authorities. Moreover, eligibility for coverage and reimbursement does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Reimbursement may not be available for any product that we commercialize and, if coverage and reimbursement are available, the level of reimbursement may not be adequate. Obtaining reimbursement for our product candidates may be particularly difficult because of the higher prices often associated with branded therapeutics and therapeutics administered under the supervision of a physician. Additionally, we expect our future products to potentially be more expensive than other therapeutics due to the personalized and proprietary product selection process of our product candidates, as well as our individualized approach to patient treatment, which requires patient hospitalization, in some cases intensive care unit admission and the potential administration of combination therapies, all of which increases costs and may result in reimbursement payment rates which may not be adequate or may require co-payments that patients find unacceptably high. Our inability to promptly obtain coverage and adequate reimbursement rates from both government-funded and private payors for any approved product candidates that we develop could have a material adverse effect on our operating results, our ability to raise capital needed to commercialize product candidates and our overall financial condition. Further, coverage policies and third-party reimbursement rates may change at any time. Even if favorable coverage and reimbursement status is attained, less favorable coverage policies and reimbursement rates may be implemented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Additionally, separate reimbursement for the product itself may or may not be available. Instead, the hospital or administering physician may be reimbursed only for providing the treatment or procedure in which our product is used. Further, from time to time, the Centers for Medicare &amp; Medicaid Services (“CMS”) revises the reimbursement systems used to reimburse health care providers, including the Medicare Physician Fee Schedule and Hospital Outpatient Prospective Payment System, which may result in reduced Medicare payments.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 For example, the U.S. Department of Health and Human Services (“HHS”) imposes rebates on many Medicare Part B and Medicare Part D products to penalize price increases that outpace inflation. Further, recently HHS has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Outside of the United States, many countries require approval of the sale price of a product before it can be marketed, and the pricing review period only begins after marketing or product licensing approval is granted. In the European Union,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cross-border imports from low-priced markets exert a commercial pressure on pricing within a country.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In the future, we may choose to build a focused sales and marketing infrastructure to sell, or participate in sales activities with our collaborators for, some of our product candidates if and when they are approved.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and distribution services, our product revenue or the profitability of such product revenue to us are likely to be lower than if we were to market and sell any products that we develop ourselves. In addition, we may not be successful in entering into arrangements with third parties to sell and market our product candidates or may be unable to do so on terms that are favorable to us. If we do not establish sales and marketing capabilities successfully, either on our own or in collaboration with third parties, we will not be successful in commercializing our product candidates. </w:t>
      </w:r>
    </w:p>
    <w:p>
      <w:pPr>
        <w:pStyle w:val="TextBody"/>
        <w:bidi w:val="0"/>
        <w:spacing w:before="120" w:after="283"/>
        <w:jc w:val="both"/>
        <w:rPr>
          <w:rFonts w:ascii="Times New Roman" w:hAnsi="Times New Roman"/>
          <w:sz w:val="20"/>
        </w:rPr>
      </w:pPr>
      <w:r>
        <w:rPr>
          <w:rFonts w:ascii="Times New Roman" w:hAnsi="Times New Roman"/>
          <w:b/>
          <w:i/>
          <w:color w:val="000000"/>
          <w:sz w:val="20"/>
        </w:rPr>
        <w:t>Even if we obtain FDA approval of any of our product candidates, we may never obtain approval or commercialize such product candidates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 candidates will be harmed.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Industry and Business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continue to successfully develop or commercialize our product candidates or otherwise implement our business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and retain highly qualified managerial, scientific, medical, legal, sales and marketing and other personnel. We are highly dependent on our management and scientific personnel. The loss of the services of any of these individuals could impede, delay or prevent the successful development of our product pipeline, completion of our planned clinical trials, commercialization of our product candidates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 substantially all of our operations at our facility in La Jolla, California. This region is headquarters to many other biopharmaceutical companies and many academic and research institutions. Competition for skilled personnel in our market is intense and may limit our ability to hire and retain highly qualified personnel on acceptable terms or at all.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We may face additional challenges in recruiting individuals due to hardship we have experienced, including the uncertainty around our ability to continue as a going concern. Despite our efforts to retain valuable employees, members of our management, scientific and development teams may terminate their employment with us on short notice. Although we have employment agreements with certain of our key employees, these employment agreements provide for at-will employment, which means that any of our employees could leave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 </w:t>
      </w:r>
    </w:p>
    <w:p>
      <w:pPr>
        <w:pStyle w:val="TextBody"/>
        <w:bidi w:val="0"/>
        <w:spacing w:before="120" w:after="283"/>
        <w:jc w:val="both"/>
        <w:rPr>
          <w:rFonts w:ascii="Times New Roman" w:hAnsi="Times New Roman"/>
          <w:sz w:val="20"/>
        </w:rPr>
      </w:pPr>
      <w:r>
        <w:rPr>
          <w:rFonts w:ascii="Times New Roman" w:hAnsi="Times New Roman"/>
          <w:b/>
          <w:i/>
          <w:color w:val="000000"/>
          <w:sz w:val="20"/>
        </w:rPr>
        <w:t>Dr. Rachel Leheny, our Chief Executive Officer and a member of our Board of Directors, and Eric W. Roberts, our Chief Business Officer and a member of our Board of Directors, also provide services for Valence, an investment fund that is one of our significant stockholders.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Chief Executive Officer and member of our Board of Directors, Dr. Leheny, and our Chief Business Officer and member of our Board of Directors, Mr. Roberts, are the co-founders of Valence Life Sciences (“Valence”), are employed as managing directors of Valence and beneficially own the shares of the company held by Valence. Entities affiliated with Valence together with Dr. Leheny and Mr. Roberts beneficially own a significant portion of our common stock. Although we expect that each of Dr. Leheny and Mr. Roberts will devote on average at least 40 hours per week to our company and remain highly active in our management, they will also continue to devote time to Valence. Because Dr. Leheny and Mr. Roberts are not required to work exclusively for us, their attention to other activities could slow our operations, which could adversely affect our business. In addition, although we do not believe Valence currently has any investments that conflict with our interests, in the future Valence may invest in companies that may compete with us for business opportunities or develop products that are competitive with ours. As a result, Dr. Leheny’s and Mr. Roberts’ interests may not be aligned with the interests of our other stockholders, and they may from time to time be incentivized to take certain actions that benefit their other interests and that our other stockholders do not view as being in their interest as investors in our company. </w:t>
      </w:r>
    </w:p>
    <w:p>
      <w:pPr>
        <w:pStyle w:val="TextBody"/>
        <w:bidi w:val="0"/>
        <w:spacing w:before="120" w:after="283"/>
        <w:jc w:val="both"/>
        <w:rPr>
          <w:rFonts w:ascii="Times New Roman" w:hAnsi="Times New Roman"/>
          <w:sz w:val="20"/>
        </w:rPr>
      </w:pPr>
      <w:r>
        <w:rPr>
          <w:rFonts w:ascii="Times New Roman" w:hAnsi="Times New Roman"/>
          <w:b/>
          <w:i/>
          <w:color w:val="000000"/>
          <w:sz w:val="20"/>
        </w:rPr>
        <w:t>We expect to expand our development, regulatory and operational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we employed 15 full-time employees, eight of whom were primarily engaged in research and development activities. We also engage various consultants that are primarily engaged in research and development activities. As we advance our research and development programs, we may be required to further increase the number of our employees, particularly in the areas of clinical development, quality, regulatory affairs and, if any of our product candidates receives marketing approval, sales, marketing and distribution. To manage any future growth, we must: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 recruit integrate, maintain and motivate additional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 our development efforts effectively, including the initiation and conduct of clinical trials for our product candidates, both as a monotherapy and combination 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improve our operational, financial and management controls, reporting systems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need to effectively execute our growth strategy requires that we: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discover new product candidates, develop the process and analytical methods for IND-enabling studies and regulatory submissions, complete the required IND-enabling studies for each, and receive approval from the FDA and other regulatory authorities to initiate clinical trials for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 our clinical trials effectively;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 recruit, retain, incentivize and integrate additional employees;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sufficient quantities of drug product for clinical supply and establish manufacturing capabilities or arrangements with third-party manufacturers for commercial supply, if and when approved;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improve our operational, financial and management controls, reports systems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Furthermore, the United States is currently experiencing an increasingly competitive labor market and we are uncertain as to the employment environment in the future, or how that environment will impact our workforce, including our ability to hire or retain qualified employees, consultants, contractors or other key personnel to facilitate our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 candidates more quickly or marketing them more successfully than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and commercialization of new product candidates is highly competitive. We compete in the segments of the pharmaceutical, biotechnology and other related markets that develop therapies for the treatment of acute critical illnesses.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marketing approval for their products more rapidly than we may obtain approval for ours, which could result in our competitors establishing a strong market position before we are able to enter the market. Moreover, with the proliferation of new drugs and therapies into critical illnesses, we expect to face increasingly intense competition as new technologies become available. If we fail to stay at the forefront of technological change, we may be unable to compete effectively. Any product candidates that we successfully develop and commercialize will compete with existing therapies and new therapies that may become available in the future. The highly competitive nature of and rapid technological changes in the biotechnology and pharmaceutical industries could render our product candidates or our technology obsolete, less competitive or uneconomical.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and type of clinical data that may be required by regulatory authorities may increase or change. Consequently, the results of our clinical trials for product candidates will likely need to show a risk benefit profile that is competitive with or more favorable than products approved prior to ours in order to obtain marketing approval or, if approved, a product label that is favorable for commercialization. If the risk benefit profile is not competitive with those product candidates or product candidate candidates, we may have developed a product that is not commercially viable, that we are not able to sell profitably or that is unable to achieve favorable pricing or reimbursement. In such circumstances, our future product business, financial condition, results of operations and prospects could be adversely affected.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significant investment across the biotechnology and pharmaceutical industries in developing novel and proprietary therapies for acute critical illnesses. We face substantial and increasing competition on multiple fronts, including from larger companies with access to more resources and capital, as well as more experience in research and development, clinical trials and commercialization. Smaller or earlier-stage companies as well as academic institutions, government agencies and public and private research institutions may also prove to be significant competitors. Additionally, we may face competition in hiring scientific and management personnel, establishing clinical trial sites, recruiting patients to participate in clinical trials and acquiring technologies complementary to, or necessary for our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price and degree of reimbursement.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subject enrollment for clinical trials, as well as in acquiring technologies complementary to, or necessary for, our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key competitive factors affecting the success of all of our programs are likely to be the possibility of other companies developing drugs that address the same disease indications that we are aiming to address. Some of these markets are limited and significant competition could reduce the number of patients we are able to reach. If we are not successful in developing, commercializing and achieving higher levels of reimbursement than our competitors, we will not be able to compete against them and our business would be adversely affected.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wish to form collaborations in the future with respect to our product candidates, but may not be able to do so or realize the potential benefits of such transactions, which may cause us to alter or delay our development and commercialization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and potential commercialization of our product candidates will require substantial additional capital to fund expenses. We may, in the future, decide to collaborate with other biopharmaceutical companies for the development and potential commercialization of those product candidates, including in territories outside the United States or for certain indications.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candidates. We may also be restricted under any license agreements from entering into agreements on certain terms or at all with potential collaborators.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Collaborations are complex and time-consuming to negotiate and document. In addition, there have been a significant number of recent business combinations among large pharmaceutical companies that have resulted in a reduced number of potential future collaborators and changes to our strategies.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may also require specific components to work effectively and efficiently, and rights to those components may be held by others. We may be unable to in-license any compositions, methods of use, processes or other third-party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both"/>
        <w:rPr>
          <w:rFonts w:ascii="Times New Roman" w:hAnsi="Times New Roman"/>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future collaborations that we enter into may not be successful. The success of our collaboration arrangements will depend heavily on the efforts and activities of our collaborators. Collaborations are subject to numerous risks, which may include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Auxora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grant exclusive rights to our collaborators that would prevent us from collaborating with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(or the third parties with whom we work) actual or perceived failure to comply with applicable data protection laws, regulations, and other obligations could lead to government enforcement actions (which could include civil or criminal penalties), private litigation and mass arbitration demands, and/or adverse publicity and could negatively affect our operating results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the third parties with whom we work are subject to federal, state, and foreign data protection laws, regulations, guidance, industry standards, external and internal privacy and security policies, contractual requirements, and other obligations that address privacy and data security. In the United States, numerous federal, state, and local laws and regulations, including federal and state health information privacy laws, state data breach notification laws, personal data protection laws, federal, state, and local consumer protection laws (e.g., Section 5 of the Federal Trade Commission Act), and other similar laws govern the collection, use, disclosure, and protection of health-related and other personal data. In addition, we obtain health information from third parties (including research institutions from which we obtain clinical trial data) that are subject to privacy and security requirements under the Health Insurance Portability and Accountability Act (“HIPAA”), as amended by the Health Information Technology for Economics and Clinical Health Act (“HITECH”). Depending on the facts and circumstances, we could be subject to significant penalties if we obtain, use, or disclose individually identifiable protected information provided by a HIPAA-covered entity or business associate in a manner that is not authorized or permitted by HIPAA.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numerous U.S. states have enacted comprehensive privacy laws that impose certain obligations on covered businesses and existing laws are being updated and strengthened. For example, the CCPA requires covered companies to provide certain disclosures to California consumers (including business representatives and employees who are California residents) and provide such consumers data protection and privacy rights, including the ability to opt-out of certain sales or sharing of personal data. The CCPA provides for administrative penalties for violations, as well as a private right of action for certain data breaches that result in the loss of personal data. This private right of action may increase the likelihood of, and risks associated with, data breach litigation. The CPRA expanded the CCPA’s requirements, including by adding a right for consumers to correct their personal data and establishing a regulatory agency to implement and enforce the law. Moreover, a number of other states have enacted data protection laws, and similar laws are being considered in several other states, as well as at the federal and local levels. Although these laws exempt some data processed in the context of clinical trials,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Internationally, virtually every jurisdiction in which we operate has established its own data security and privacy legal framework that may also apply to health-related and other personal data obtained outside of the United States. For example, the EU has adopted the EU GDPR and the United Kingdom has adopted the UK General Data Protection Regulation (collectively, “GDPR”), which imposes strict requirements for processing the personal data of individuals within the EEA and the United Kingdom. Companies that must comply with the GDPR face increased compliance obligations and risk, including more robust regulatory enforcement of data protection requirements and potential fines for noncompliance of up to 20 million euros, 17.5 million pounds sterling under the UK GDPR, or in each case, up to 4% of the annual global revenue of the noncompliant company, whichever is greater, as well as private litigation related to the processing of personal data brought by classes of data subjects or consumer protection organizations authorized at law to represent their interests. Among other requirements, the GDPR regulates transfers of personal data subject to the GDPR to third countries that have not been found to provide adequate protection to such personal data.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there are currently various mechanisms that may be used to transfer personal data from the EEA and UK to the United States in compliance with law, such as the EEA standard contractual clauses, the United Kingdom’s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Moreover,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India Digital Personal Data Protection Act 2023 (“DPDP”) came into force in 2024. Like the GDPR, the DPDP has extra-territorial reach and failure to comply with the DPDP may lead to substantial fines. A significant portion of our CARPO trial was conducted in India and future trials may be conducted in India. We and certain third parties with whom we work may be subject to the DPDP.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For example, clinical trial subjects about whom we or the third parties with whom we work obtain information, as well as the providers who share this information with us, contractually limit our ability to use and disclose the information. We publish privacy policies, marketing materials, whitepapers,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employees, personnel, and third parties with whom we work may use generative artificial intelligence (“AI”) and/or automated decision-making technologies to perform their work, and the disclosure and use of personal data in AI technologies is subject to various privacy laws and other privacy obligations. For example, we may use AI technologies to process patient or clinical trial participant data in the course of our business. Governments have passed and are likely to pass additional laws and regulations regulating AI and/or automated decision-making technologies. Our use of such technologies could result in additional compliance costs, regulatory investigations and actions, and lawsuits. If we are unable to use AI and/or automated decision-making technologies, it could make our business less efficient and result in competitive disadvantages.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If we or the third parties with whom we work fail, or are perceived to have failed, to address or comply with U.S. and international data protection laws, regulations, and other obligations, we could face significant consequences, including without limitation government enforcement actions (which could include investigations, civil or criminal penalties, audits inspections), private litigation or mass arbitration demands, additional reporting requirements or oversight, bans or restrictions on processing personal data, data breach reporting requirements and/or adverse publicity and could negatively affect our operating results and business. Claims that we have violated individuals’ privacy rights, failed to comply with data protection or privacy obligations, even if we are not found liable, could be expensive and time-consuming to defend and could result in adverse publicity that could harm our business. </w:t>
      </w:r>
    </w:p>
    <w:p>
      <w:pPr>
        <w:pStyle w:val="TextBody"/>
        <w:bidi w:val="0"/>
        <w:spacing w:before="120" w:after="283"/>
        <w:jc w:val="both"/>
        <w:rPr>
          <w:rFonts w:ascii="Times New Roman" w:hAnsi="Times New Roman"/>
          <w:sz w:val="20"/>
        </w:rPr>
      </w:pPr>
      <w:r>
        <w:rPr>
          <w:rFonts w:ascii="Times New Roman" w:hAnsi="Times New Roman"/>
          <w:b/>
          <w:i/>
          <w:color w:val="000000"/>
          <w:sz w:val="20"/>
        </w:rPr>
        <w:t>Our information technology systems, or those of our CROs, contractors, consultants, or other third parties with whom we work,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increasingly dependent upon information technology systems, infrastructure and data to operate our business. In the ordinary course of business, we and the third parties with whom we work, collect, store and transmit confidential information (including but not limited to intellectual property, proprietary business information and personal data, including health-related information) (collectively, “sensitive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use of digital technologies has increased, cyber incidents, including deliberate attacks and attempts to gain unauthorized access to computer systems and networks, which could result in material adverse impacts to our business, including the theft of our sensitive information, have increased in frequency and sophistication.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Despite our implementation of security measures, given their size and complexity and the increasing amounts of confidential information that they maintain, our information technology systems and those of our third-party CROs, contractors, consultants, and other third parties with whom we work are subject to a variety of evolving threats, including but not limited to service interruptions, system malfunction, natural disasters, terrorism, war and telecommunication and electrical failures, personnel misconduct or error, malware (including as a result of advanced persistent intrusions), ransomware, denial-of-service attacks, social engineering attacks, malicious code (such as viruses or worms), credential stuffing attacks, credential harvesting, supply-chain attacks, software bugs, server malfunctions, software or hardware failures, loss of data or other information technology assets, attacks enhanced or facilitated by AI, and other similar threats. For example, we have experienced phishing attacks in the past and we may be a target of phishing attacks or other cyber-attacks in the future. 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To the extent that any disruption or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breach were to result in a loss of, or damage to, our sensitive information or applications (or those of the third parties with whom we work), or inappropriate disclosure of sensitive information, we could incur liability and reputational damage, and the further development and commercialization of our product candidates could be delayed. 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Remote work has increased the risks to our information technology systems and data, as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283"/>
        <w:jc w:val="both"/>
        <w:rPr>
          <w:rFonts w:ascii="Times New Roman" w:hAnsi="Times New Roman"/>
          <w:sz w:val="20"/>
        </w:rPr>
      </w:pPr>
      <w:r>
        <w:rPr>
          <w:rFonts w:ascii="Times New Roman" w:hAnsi="Times New Roman"/>
          <w:color w:val="000000"/>
          <w:sz w:val="20"/>
        </w:rPr>
        <w:t>We also have outsourced elements of our operations to third parties, and as a result we manage a number of third parties who have access to our sensitive information. We rely on these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the third parties with whom we work supply chains have not been compromised.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invest in our information security systems, we cannot assure you that our data protection efforts and our investment in information technology will be effective and prevent breakdowns, data leakages, breaches in our systems or other cyber incidents that could have an adverse effect upon our reputation, business, financial condition, results or operations and prospects. We may not be successful in preventing or detecting cyber-attacks or mitigating their effects, or we may be perceived as having failed to do so. We take steps designed to detect, mitigate and remediate vulnerabilities in our information systems (such as hardware and/or software, including that of the third parties with whom we work), but we have not, and in the future may not, however, be able to detect and remediate all such vulnerabilities, including on a timely basis. Further, we have (and may in the future) experienced delays in developing and deploying remedial measures and patches designed to address any such identified vulnerabilities. Vulnerabilities could be exploited and result in a security incident. For example, if a cyber-attack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Additionally, theft of our intellectual property or proprietary business information could require substantial expenditures to remedy. Furthermore, any of the previously identified or similar threats have in the past and may in the future cause a security incident or other interruption that have in the past and may in the future result in the loss, misappropriation, and/or unauthorized access, use, or disclosure of, or access to our sensitive information (including trade secrets or other intellectual property, proprietary business information, and personal data) or our information technology systems, or those of the third parties with whom we work. For example, any such event that leads to unauthorized access, use, or disclosure of personal data, including personal data regarding our clinical trial subjects or employees, could harm our reputation directly, compel us to comply with federal and/or state breach notification laws and foreign law equivalents (or we may voluntarily choose to make such notifications), subject us to mandatory corrective action, and otherwise subject us to liability under laws and regulations that protect the privacy and security of personal data, which could result in significant legal and financial exposure and reputational damages that could potentially have an adverse effect on our business (and that of the third parties with whom we work).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We or the third parties upon whom we depend may be adversely affected by earthquakes, fires or other natural disasters, terrorism or similar unforeseen events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headquarters are located in California near major earthquake faults and fire zones. If earthquakes, fires, other natural disasters, terrorism or similar unforeseen events beyond our control prevent us from using all or a significant portion of our headquarters,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AEs. If such an event were to affect our supply chain, it could have a material adverse effect on our ability to conduct our clinical trials, our development plans and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we had federal and state net operating loss (“NOL”) carryforwards of approximately $315.4 million and nil, respectively. $74.6 million of our federal NOLs were generated prior to 2018 and will begin to expire in 2026, unless previously utilized, but may be used to offset up to 100% of future taxable income before expiration. Our federal NOLs generated in tax years beginning after December 31, 2017, may be carried forward indefinitely, but the deductibility of such federal NOL carryforwards in a taxable year is limited to 80% of taxable income in such year. We also have federal and state research and development credit carryforwards totaling $14.3 million and $3.3 million, respectively. The federal research and development credit carryforwards will begin to expire in 2027, unless previously utilized. The state research and development credits do not expire.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(the “Code”), and corresponding provisions of state law, if a corporation undergoes an “ownership change,” which is generally defined as a greater than 50 percentage point change (by value) in its equity ownership over a rolling three-year period, the corporation’s ability to use its pre-change NOL carryforwards and certain other tax attributes to offset its post-change income or taxes may be limited. This could limit the amount of NOL carryforwards or other applicable tax attributes that we can utilize annually to offset future taxable income or tax liabilities. We have not undertaken a Section 382 study, and it is possible that we have previously undergone one or more ownership changes so that our use of net operating losses is subject to limitation. We may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U.S. government recently enacted legislation commonly referred to as the One Big Beautiful Bill Act (“OBBBA”), that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 In addition, it is uncertain if and to what extent various states will conform to federal tax laws. Future tax reform legislation could have a material impact on the value of our deferred tax assets, could result in significant one-time charges, and could increase our future U.S. tax expense. </w:t>
      </w:r>
    </w:p>
    <w:p>
      <w:pPr>
        <w:pStyle w:val="TextBody"/>
        <w:bidi w:val="0"/>
        <w:spacing w:before="120" w:after="283"/>
        <w:jc w:val="both"/>
        <w:rPr>
          <w:rFonts w:ascii="Times New Roman" w:hAnsi="Times New Roman"/>
          <w:sz w:val="20"/>
        </w:rPr>
      </w:pPr>
      <w:r>
        <w:rPr>
          <w:rFonts w:ascii="Times New Roman" w:hAnsi="Times New Roman"/>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Among policy makers and payors in the United States and elsewhere, including in the EU,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the Patient Protection and Affordable Care Act, as amended by the Health Care and Education Reconciliation Act (collectively, the “Affordable Care Act”), substantially changed the way healthcare is financed by both the government and private insurers, and continues to significantly impact the U.S. pharmaceutical industry.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Since its enactment, there have been amendments to and judicial, executive and Congressional challenges to certain aspects of the Affordable Care Act.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unclear how any such challenges and the healthcare reform measures of the second Trump administration will impact the Affordable Care Act, our business, or financial condition. Additionally, in its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the U.S. Supreme Court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 Bright</w:t>
      </w:r>
      <w:r>
        <w:rPr>
          <w:rFonts w:ascii="Times New Roman" w:hAnsi="Times New Roman"/>
          <w:color w:val="000000"/>
          <w:sz w:val="20"/>
        </w:rPr>
        <w:t xml:space="preserve">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legislative changes have been proposed and adopted since the Affordable Care Act was enacted that affect healthcare expenditures. These changes also include aggregate reductions to Medicare payments to providers of 2% per fiscal year pursuant to the Budget Control Act of 2011, which began in 2013 and, due to legislative amendments to the statute, will remain in effect until 2032, unless additional Congressional action is taken. In January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Any reduction in reimbursement from Medicare or other government programs may result in a similar reduction in payments from private payors. In addition, new laws may result in additional reductions in Medicare and other healthcare funding, which may adversely affect customer demand and affordability for our product candidates and, accordingly, the results of our financial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these and other healthcare reform measures that may be adopted in the future, particularly in light of the recent U.S. Presidential and Congressional elections, may result in more rigorous coverage criteria and lower reimbursement and in additional downward pressure on the price that we receive for any approved product. The current presidential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and proposals include, for example, (1) reducing agency workforce and cutting programs; (2) directing HHS and other agencies to lower prescription drug costs for Medicare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Congress may introduce and ultimately pass health care related legislation that could impact the drug approval process and make changes to the Medicare Drug Price Negotiation Program. Any reduction in reimbursement from Medicare or other government-funded programs may result in a similar reduction in payments from private payors. The implementation of cost-containment measures or other healthcare reforms may prevent us from being able to generate revenue, attain profitability or commercialize our drugs, once marketing approval is obtained.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European Union, coverage and reimbursement status of any product candidates for which we obtain regulatory approval are provided for by the national laws of member states. The requirements may differ across the EU member states. Also, at national level, actions have been taken to enact transparency and anti-gift laws (similar to the US Physician Payments Sunshine Act) regarding payments between pharmaceutical companies and health care professionals. </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subject to applicable fraud and abuse, transparency, government price reporting,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Healthcare providers and third-party payors will play a primary role in the recommendation and prescription of any future product candidates we may develop and any product candidates for which we obtain marketing approval. Our current and future arrangements with clinical investigators, third-party payors, healthcare provider and customers expose us to broadly applicable fraud and abuse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healthcare laws and regulations that may affect the business or financial arrangements and relationships through which we research, market, sell and distribute our product candidates. The laws that may affect our ability to operate include, but are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and purchasers, on the other hand. There are a number of statutory exceptions and regulatory safe harbors protecting some common activities from prosecution, but these exceptions and safe harbors are narrowly drawn. Practices that are alleged to be intended to induce prescribing, purchases or recommendations, or include any payments of more than fair market value, may be subject to scrutiny if they do not qualify for an exception or safe harbor. In addition, a person or entity does not need to have actual knowledge of the statute or specific intent to violate it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civil and criminal false claims laws, such as the civil False Claims Act (“FCA”),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FCA in connection with, among other things their alleged off-label promotion of drugs, engaging in improper consulting arrangements with physicians, concealing price concessions in the pricing information submitted to the government for government price reporting purposes, and providing free product to customers with the expectation that the customers would bill federal health care programs for the product.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Moreover, a claim including items or services resulting from a violation of the federal Anti-Kickback Statute constitutes a false or fraudulent claim for purposes of the FCA;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which,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HITECH and their implementing regulations, which imposes privacy, security and breach reporting obligations with respect to individually identifiable health information upon covered entities, including certain healthcare providers, health plans, and healthcare clearinghouses, and their respective business associates and covered subcontractors.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transparency requirements under the Physician Payments Sunshine Act, created under the Affordable Care Act, which requires, among other things, certain manufacturers of drugs, devices, biologics and medical supplies reimbursed under Medicare, Medicaid, or the Children’s Health Insurance Program to report to CMS information related to payments and other transfers of value provided to physicians (defined to include doctors, dentists, optometrists, podiatrists and chiropractors), other healthcare professionals (such as physician assistants and nurse practitioners) and teaching hospitals and physician ownership and investment interests, including such ownership and investment interests held by a physician’s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and state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 and foreign law equivalents of each of the above federal laws, such as anti-kickback and false claims laws, that may impose similar or more prohibitive restrictions, and may apply to items or services reimbursed by any non-governmental third-party payors, including private insurers;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state and local laws that require certain regulatory licenses to manufacture or distribute products commercially and/or the registration of pharmaceutical sales representatives; and state health information privacy laws, many of which differ from each other in significant ways and often are not pre-empted by HIPAA, thus requiring additional compliance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consulting and scientific advisory board arrangements with physicians and other healthcare providers, including some who could influence the use of our product candidates, if approved, and have received equity awards as compensation for services provided to us.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our product candidates, if approved, to be in violation of applicable laws.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Federal and state enforcement bodies have continued their scrutiny of interactions between healthcare companies and healthcare providers, which has led to significant investigations, prosecutions, convictions and settlements in the healthcare industry. Responding to investigations can be time-and resource-consuming and can divert management’s attention from the business. Any such investigation or settlement could increase our costs or otherwise have an adverse effect on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Ensuring that our business arrangements with third parties comply with applicable healthcare laws and regulations will likely be costly. If our operations are found to be in violation of any of these laws or any other current or future governmental laws and regulations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t>
      </w:r>
    </w:p>
    <w:p>
      <w:pPr>
        <w:pStyle w:val="TextBody"/>
        <w:bidi w:val="0"/>
        <w:spacing w:before="120" w:after="283"/>
        <w:jc w:val="both"/>
        <w:rPr>
          <w:rFonts w:ascii="Times New Roman" w:hAnsi="Times New Roman"/>
          <w:sz w:val="20"/>
        </w:rPr>
      </w:pPr>
      <w:r>
        <w:rPr>
          <w:rFonts w:ascii="Times New Roman" w:hAnsi="Times New Roman"/>
          <w:b/>
          <w:i/>
          <w:color w:val="000000"/>
          <w:sz w:val="20"/>
        </w:rPr>
        <w:t>Our current or future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consolidated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those actions could have a significant impact on our business, including the imposition of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the curtailment or restructuring of our operations.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If we are unable to obtain and maintain sufficient intellectual property protection for Auxora, our other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Auxora, any future product candidates, and other proprietary technologies if approved,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will depend in part on our ability to obtain and maintain a combination of patents, trade secret protection and confidentiality agreements to protect the intellectual property related to Auxora, any future product candidates, and other proprietary technologies we develop. If we are unable to obtain or maintain patent protection with respect to Auxora, any future product candidates, and other proprietary technologies we may develop, our business, financial condition, results of operations, and prospects could be materially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Auxora,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any of our actual or potential future collaborators will be successful in protecting Auxora, any future product candidates, and other proprietary technologies and their uses by obtaining, defending and enforcing patents. These risks and uncertainties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that may be issued may be challenged, invalidated, modified, revoked, circumvented, found to be unenforceable, or may otherwise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were the first to file any patent application related to Auxora, any future product candidates, and other proprietary technologies and their uses;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Therefore, we cannot be certain that we were the first to make the inventions claimed in any of our owned patents or pending patent applications, or that we were the first to file for patent protection of such inventions.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Auxora, any future product candidates, and other proprietary technologies and erode or negate any competitive advantage we may have, which could have a material adverse effect on our financial condition and results of operations. For example: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compounds that are similar to Auxora and any future product candidates but that are not covered by the claims of our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have been the first to make the inventions covered by our pending patent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that we obtain may not provide us with any competitive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ensure that any of our patents, or any of our pending patent applications, if issued, will include claims having a scope sufficient to protect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ensure that we will be able to successfully commercialize our products on a substantial scale, if approved, before the relevant patents that we own expire;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by us, or that we will not be involved in interference, opposition or invalidity proceedings before U.S. or non-U.S. patent offices.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be certain that the claims in our issued patents and pending patent applications covering Auxora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strength of patents in the biotechnology and pharmaceutical fields involves complex legal and scientific questions and can be uncertain. The patent applications that we own may fail to result in issued patents with claims that cover Auxora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Auxora and any future product candidates. Furthermore, even if they are unchallenged, our patents may not adequately protect our intellectual property, provide exclusivity for Auxora or any future product candidates or prevent others from designing around our claims. If the breadth or strength of protection provided by the patents we hold with respect to Auxora or any future product candidates is threatened, it could dissuade companies from collaborating with us to develop, or threaten our ability to commercialize, Auxora or any future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t>
      </w:r>
    </w:p>
    <w:p>
      <w:pPr>
        <w:pStyle w:val="TextBody"/>
        <w:bidi w:val="0"/>
        <w:spacing w:before="120" w:after="283"/>
        <w:jc w:val="both"/>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do not obtain patent term extension for Auxora, our business may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Auxora, or any future product candidate we may develop, one or more of patents issuing from our U.S. patent applications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If we encounter delays in our development efforts, including our clinical trials, the period of time during which we could market Auxora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w:t>
      </w:r>
    </w:p>
    <w:p>
      <w:pPr>
        <w:pStyle w:val="TextBody"/>
        <w:bidi w:val="0"/>
        <w:spacing w:before="120" w:after="283"/>
        <w:jc w:val="both"/>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Changes in U.S. patent law could diminish the value of patents in general, thereby impairing our ability to protect Auxora and future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practitioners on multiple occasions. The U.S. Supreme Court has ruled on several patent cases in recent years, either narrowing the scope of patent protection available in certain circumstances or weakening the rights of patent owners in certain situations. We cannot predict how decisions by the federal courts, the U.S. Congress or the USPTO may impact the value of our patent rights. For example, the Supreme Court of the United States held in Amgen v. Sanofi (2023) that a functionally claimed genus was invalid for failing to comply with the enablement requirement of the Patent Act. In addition, the Federal circuit recently issued a decision, In re Cellect, LLC (2023) involving the interaction of patent term adjustment (“PTA”), terminal disclaimers, and obvious-type double patenting which may affect the patent term of any issued patents that rely on any PTA. Other countries may likewise enact changes to their patent laws in ways that adversely diminish the scope of patent protection and weaken the rights of patent owners to obtain patents, enforce patent infringement, and obtain injunctions and/or damages.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In the 2013 case Assoc. for Molecular Pathology v. Myriad Genetics, Inc., for instance,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Inflation Reduction Act (“IRA”) passed by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whether it will affect our patent strategy in the long run.</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are of national or regional effect. Filing, prosecuting, and defending patents on Auxora,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In Europe, beginning June 1, 2023, European applications and patent may be subjected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As a single court system can invalidate a European patent, we, where applicable may opt out of the UPC and as such, each European patent would need to be challenged in each individual country. Proceedings to enforce our patent rights in foreign jurisdictions could result in substantial costs and divert our efforts and attention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become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conflicting obligations of third parties involved in developing Auxora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program may require the use of intellectual property rights held by third parties. The growth of our business may depend in part on our ability to acquire, in-license or use these proprietary rights. In addition, Auxora and future product candidates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Auxora.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Auxora and future product candidates. More established companies may have a competitive advantage over us due to their size, cash resources and greater clinical development and commercialization capabilities.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we may collaborate with U.S. and foreign academic institutions to accelerate our research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companies that perceive us to be a competitor may be unwilling to assign or license rights to us, either on reasonable terms, or at all. We also may be unable to license or acquire third-party intellectual property rights on terms that would allow us to make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 </w:t>
      </w:r>
    </w:p>
    <w:p>
      <w:pPr>
        <w:pStyle w:val="TextBody"/>
        <w:bidi w:val="0"/>
        <w:spacing w:before="120" w:after="283"/>
        <w:jc w:val="both"/>
        <w:rPr>
          <w:rFonts w:ascii="Times New Roman" w:hAnsi="Times New Roman"/>
          <w:sz w:val="20"/>
        </w:rPr>
      </w:pPr>
      <w:r>
        <w:rPr>
          <w:rFonts w:ascii="Times New Roman" w:hAnsi="Times New Roman"/>
          <w:b/>
          <w:i/>
          <w:color w:val="000000"/>
          <w:sz w:val="20"/>
        </w:rPr>
        <w:t>Third-party claims alleging intellectual property infringement may prevent or delay our drug discovery and development efforts.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Auxora. As the biotechnology and pharmaceutical industries expand and more patents are issued, the risk increases that our activities related to Auxora and future product candidates may give rise to claims of infringement of the patent rights of others.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Auxora.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Auxora. Because patent applications can take many years to issue and may be confidential for 18 months or more after filing, there may be currently pending third-party patent applications which may later result in issued patents that Auxora,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Auxora or future product candidates. Defense of these claims, regardless of their merit, could involve substantial expenses and could be a substantial diversion of management and other employee resources from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claims of patent infringement asserted by third parties would be time-consuming and could: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prevent us from commercializing Auxora or any future product candidates until the asserted patent expires or is finally held invalid, unenforceable,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willfully infringing; and/or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us to enter into royalty or license agreements, which may not be available on commercially reasonable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Auxora or any future product candidates to market and be precluded from developing, manufacturing or selling Auxora or any future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always conduct independent reviews of pending patent applications of and patents issued to third parties. We cannot be certain that any of our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Auxora, and any future product candidates or the use of Auxora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publications in the scientific literature often lag behind actual discoveries;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generative artificial intelligence (“AI”) resources that are publicly available also present a risk that a company may inadvertently obtain, incorporate or use a third party’s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competitors may have filed, and may in the future file, patent applications covering technology similar to ours, and others may have or obtain patents or proprietary rights that could limit our ability to make, use, sell, offer for sale or import Auxora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Auxora.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Auxora. We may fail to obtain any of these licenses at a reasonable cost or on reasonable terms, if at all. In that event, we would be unable to further develop and commercialize Auxora, which could harm our business significantly. Even if we were able to obtain a license, the rights may be nonexclusive, which may give our competitors access to the same intellectual property.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is common in the biotechnology and pharmaceutical industries, in addition to our employees, we engage the services of consultants to assist us in the development of Auxora,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 involved in lawsuits to protect or enforce our patents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including competitors may infringe, misappropriate or otherwise violate our patents or patents that may issue to us in the future. To counter infringement or unauthorized use, we may need to or choose to file infringement claims, which can be expensive and time-consuming. We may not be able to prevent, infringement, misappropriation, or other violation of our intellectual property, particularly in countries where the laws may not protect those rights as fully as in the United States.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 candidate. Such a loss of patent protection would have a material adverse impact on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Auxora and any future product candidates to market.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 </w:t>
      </w:r>
    </w:p>
    <w:p>
      <w:pPr>
        <w:pStyle w:val="TextBody"/>
        <w:bidi w:val="0"/>
        <w:spacing w:before="120" w:after="283"/>
        <w:jc w:val="both"/>
        <w:rPr>
          <w:rFonts w:ascii="Times New Roman" w:hAnsi="Times New Roman"/>
          <w:sz w:val="20"/>
        </w:rPr>
      </w:pPr>
      <w:r>
        <w:rPr>
          <w:rFonts w:ascii="Times New Roman" w:hAnsi="Times New Roman"/>
          <w:b/>
          <w:i/>
          <w:color w:val="000000"/>
          <w:sz w:val="20"/>
        </w:rPr>
        <w:t>Because of the expense and uncertainty of litigation, we may not be in a position to enforce our intellectual property rights against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technology and other confidential information, then our ability to obtain patent protection or to protect our trade secret information may be jeopardized. </w:t>
      </w:r>
    </w:p>
    <w:p>
      <w:pPr>
        <w:pStyle w:val="TextBody"/>
        <w:bidi w:val="0"/>
        <w:spacing w:before="12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any trade name we have proposed to use for products in the United States, such as Auxora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12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operations subject us to disputes, claims and lawsuits, which may be costly and time-consuming and could materially and adversely impact our financial position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involved in disputes, claims and lawsuits relating to our business operations. In particular, from time to time we face claims related to the safety of our products, intellectual property matters, employment matters, tax matters, commercial disputes, competition, sales and marketing practices, environmental matters, personal injury, insurance coverage and acquisition or divestiture-related matters.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For example, in April 2025, a stockholder of the Company filed a complaint against the Company and two directors demanding the return of such stockholder’s investment in the Company plus interest and attorneys’ fees. We intend to vigorously defend ourselves in this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Regardless of merit,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maintain our listing on Nasdaq, it could become more difficult to sell our common stock in the public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continue to meet Nasdaq’s listing standards for any reason, our common stock could be delisted from Nasdaq. If delisted, we may seek to list our securities on a different stock exchange or, if one or more broker-dealer market makers comply with applicable requirements, the OTC. Listing on such other market or exchange could reduce the liquidity of our common stock. If our common stock were to trade in the OTC market, an investor would find it more difficult to dispose of, or to obtain accurate quotations for the price of, the common stock. On March 13, 2026, we received a notice from Nasdaq that we were not in compliance with Nasdaq’s Listing Rule 5550(b)(2) as the market value of listed securities (the “MVLS Requirement”) for our common stock had been below the minimum MVLS Requirement of $35,000,000 for the last 30 consecutive business days. Nasdaq also noted that the Company does not meet the requirements under Listing Rules 5550(b)(1) and 5550(b)(3). Under Nasdaq Listing Rule 5810(c)(3)(C), we have 180 calendar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days following the date of the notice, or until September 9, 2026, to regain compliance. In addition, on March 16, 2026, we received a notice from Nasdaq that we were not in compliance with Nasdaq’s Listing Rule 5550(a)(2), as the minimum bid price of our common stock had been below $1.00 per share for 30 consecutive business days (the “Minimum Bid Price Requirement”). Under Nasdaq Listing Rule 5810(c)(3)(A), the Company has 180 calendar days following the date of the notice, or until September 14, 2026, to regain compliance with the Minimum Bid Price Requirement, which may be extended for an additional 180 days if, on the last day of the initial compliance period, we meet the market value of publicly held shares requirement for continued listing as well as all other standards for initial listing of our common stock on The Nasdaq Capital Market, with the exception of the Minimum Bid Price Requirement, and provide Nasdaq written notice of our intention to cure the bid price deficiency during the second compliance period. If we do not regain compliance within the applicable compliance periods, we expect that Nasdaq would provide notice that our securities are subject to delisting from The Nasdaq Capital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delisting from Nasdaq and failure to obtain listing on another market or exchange would subject our common stock to so-called penny stock rules that impose additional sales practice and market-making requirements on broker-dealers who sell or make a market in such securities. Consequently, removal from Nasdaq and failure to obtain listing on another market or exchange could affect the ability or willingness of broker-dealers to sell or make a market in our common stock and the ability of purchasers of our common stock to sell their securities in the secondary market.</w:t>
      </w:r>
    </w:p>
    <w:p>
      <w:pPr>
        <w:pStyle w:val="TextBody"/>
        <w:bidi w:val="0"/>
        <w:spacing w:before="120" w:after="283"/>
        <w:jc w:val="both"/>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the third parties with whom we share our facilities,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and produce hazardous waste products. We generally contract with third parties for the disposal of these materials and waste.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involves the use of hazardous materials and we and our third-party manufacturers and suppliers must comply with environmental laws and regulations, which can be expensive and restrict how we do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and development activities and our or any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this may not be the case or and we may not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adversely affect our business, financial condition, results of operations and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including the U.S. Foreign Corrupt Practices Act (collectively, “Trade Laws”),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Trade Laws also prohibit the provision of certain products and services to countries, governments and persons targeted by sanctions.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price of our stock has been and may continue to be volatile,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price of our common stock has been in the past, and may continue to be, highly volatile and subject to wide fluctuations in response to various factors, many of which we cannot control. Market prices for securities of early-stage pharmaceutical, biotechnology, and other life sciences companies have historically been particularly volatile. Some of the factors that may cause the market price of our common stock to fluctuate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approvals for product candidates, and delays or failures to obtain such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current, and any future, nonclinical or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of any of our product candidates, if approved for marketing and commercialization, to achieve commercial success;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obtain adequate supply of our product candidates or the inability to do so at acceptable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entry into, or termination of, key agreements, including key licensing, supply or collaboration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initiation of material developments in, or conclusion of, disputes or litigation to enforce or defend any of our intellectual property rights or defend against the intellectual property rights of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commercial partners or competitors of new commercial products, clinical progress (or the lack thereof), significant contracts, commercial relationships,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financial and development projections we may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the financial and development projections of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perception of the pharmaceutical industry by the public, legislatures, regulators and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publicity relating to our markets, including with respect to other products and potential products in such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introduction of technological innovations or new therapies competing with our potential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significant acquisitions, strategic collaborations, joint ventures or capital commitments by us or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of key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securities or industry analysts do not publish research or reports about our business, or if they issue an adverse or misleading opinion regarding our business and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industry-specific economic conditions potentially affecting our research and development expenditures;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common stock by us or our stockholders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 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period-to-period fluctuations in our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the stock markets in general have experienced substantial volatility that has often been unrelated to the operating performance of individual companies or the biotechnology and pharmaceutical sectors, including as a result of disruptions to and volatility in the credit and financial markets in the United States and worldwide from geopolitical and macroeconomic events, including the ongoing Russia-Ukraine and Middle East conflicts and related sanctions, bank failures and international tariffs. These broad market fluctuations may also adversely affect the trading price of our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Recent policy discussions have included potential targeted tariffs or other trade measures specifically aimed at pharmaceutical products and ingredients as part of broader healthcare cost control or national security initiatives.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Following that investigation, the President announced a proclamation which will impose 100% tariffs on certain patented pharmaceutical products and associated pharmaceutical ingredients. We are assessing the potential impact of the proclamation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critical raw materials are located in China and Germany. The active pharmaceutical ingredients (“APIs”) for Auxora is manufactured in China, and our Auxora product candidate is manufactured in the United States.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w:t>
      </w:r>
    </w:p>
    <w:p>
      <w:pPr>
        <w:pStyle w:val="TextBody"/>
        <w:bidi w:val="0"/>
        <w:spacing w:before="120" w:after="283"/>
        <w:jc w:val="both"/>
        <w:rPr>
          <w:rFonts w:ascii="Times New Roman" w:hAnsi="Times New Roman"/>
          <w:sz w:val="20"/>
        </w:rPr>
      </w:pPr>
      <w:r>
        <w:rPr>
          <w:rFonts w:ascii="Times New Roman" w:hAnsi="Times New Roman"/>
          <w:b/>
          <w:i/>
          <w:color w:val="000000"/>
          <w:sz w:val="20"/>
        </w:rPr>
        <w:t>Financial reporting obligations of being a public company in the United States are expensive and time-consuming, and our management needs to devote substantial time to compliance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publicly traded company, we incur significant additional legal, accounting and other expenses, including costs associated with public company reporting requirements. The obligations of being a public company in the United States require significant expenditures and will place significant demands on our management and other personnel, including costs resulting from public company reporting obligations under the Securities Exchange Act of 1934, as amended (the “Exchange Act”) and the rules and regulations regarding corporate governance practices, including those under the Sarbanes-Oxley Act of 2002 (the “Sarbanes-Oxley Act”), the Dodd-Frank Wall Street Reform and Consumer Protection Act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In addition, we expect these rules and regulations to make it more difficult and more expensive for us to obtain director and officer liability insurance and we may be required to incur substantial costs to maintain such insurance. Moreover, despite recent reforms made possible by the JOBS Act, the reporting requirements, rules and regulations will make some activities more time-consuming and costly, particularly after we are no longer a “smaller reporting company”. Our management and other personnel will need to devote a substantial amount of time to ensure that we comply with all of these requirements and to keep pace with new regulations, otherwise we may fall out of compliance and risk becoming subject to litigation, among other potential problems. Our management and other personnel will need to devote a substantial amount of time to ensure that we comply with all of these requirements and to keep pace with new regulations, otherwise we may fall out of compliance and risk becoming subject to litigation, among other potential problems.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relative lack of public company experience of our management team may put us at a competitive disadvantage.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team lacks significant public company experience, which could impair our ability to comply with legal and regulatory requirements such as, but not limited to, those imposed by the Sarbanes-Oxley Act. Our senior management does not have significant experience managing a publicly traded company. Such responsibilities include complying with federal securities laws and making required disclosures on a timely basis. Our senior management may be unable to implement programs and policies in an effective and timely manner or that adequately respond to the increased legal, regulatory and reporting requirements associated with being a publicly traded company. Our failure to comply with all applicable requirements could lead to the imposition of fines and penalties, distract our management from attending to the management and growth of our business, result in a loss of investor confidence in our financial reports and have an adverse effect on our business and stock price.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Substantial future sales of shares of our common stock could adversely affect the market price of such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existing stockholders sell, or indicate an intention to sell, substantial amounts of our common stock in the public market, or there is the perception that these sales could occur, this could adversely affect the market price of such shares and could materially impair our ability to raise capital through equity offerings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what effect, if any, sales of our shares in the public market or the availability of shares for sale would have on the market price of our common stock. However, future sales of substantial amounts of our common stock in the public market, including shares issued upon exercise of outstanding options or warrants, or the perception that such sales may occur, could adversely affect the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beneficial ownership of our common stock as of March 31, 2026, our executive officers, directors and holders of 5% or more of our capital stock and their respective affiliates beneficially owned a significant percentage of our voting stock. As a result, these stockholders, if continuing to act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a smaller reporting company. We cannot be certain whether the reduced disclosure requirements applicable to smaller reporting companies will make our common stock less attractive to investors or otherwise limit our ability to raise additional funds.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$700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TextBody"/>
        <w:bidi w:val="0"/>
        <w:spacing w:before="120" w:after="283"/>
        <w:jc w:val="both"/>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industry or equity research analysts publish about us and our business. Equity research analysts may elect not to provide research coverage of our common stock after the completion of the merger,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its stock price or trading volume to decline. </w:t>
      </w:r>
    </w:p>
    <w:p>
      <w:pPr>
        <w:pStyle w:val="TextBody"/>
        <w:bidi w:val="0"/>
        <w:spacing w:before="120" w:after="283"/>
        <w:jc w:val="both"/>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us more difficult and may prevent attempts by our stockholders to replace or remove our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General Corporation Law of the State of Delaware (the “DGCL”), which prohibits stockholders owning in excess of 15% of our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our Board of Directors, which is responsible for appointing the members of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amended and restated bylaws provide that the Court of Chancery of the State of Delaware (or, if the Court of Chancery of the State of Delaware does not have jurisdiction, the federal district court for the District of Delaware) is the sole and exclusive forum for any state law claims for (a) any derivative action or proceeding brought on behalf of us; (b) any action asserting a claim of breach of a fiduciary duty owed by, or other wrongdoing by, any of our directors, officers, stockholders, employees or agents to us or our stockholders; (c) any action asserting a claim against us or any of our directors, officers, stockholders, employees or agents arising pursuant to any provision of the DGCL, the certificate of incorporation or the bylaws or as to which the DGCL confers jurisdiction on the Court of Chancery of the State of Delaware; (d) any action to interpret, apply, enforce or determine the validity of the certificate of incorporation or the bylaws; or (e) any action asserting a claim against us or any of our directors, officers, stockholders, employees or agents governed by the internal affairs doctrine; </w:t>
      </w:r>
      <w:r>
        <w:rPr>
          <w:rFonts w:ascii="Times New Roman" w:hAnsi="Times New Roman"/>
          <w:i/>
          <w:color w:val="000000"/>
          <w:sz w:val="20"/>
        </w:rPr>
        <w:t>provided</w:t>
      </w:r>
      <w:r>
        <w:rPr>
          <w:rFonts w:ascii="Times New Roman" w:hAnsi="Times New Roman"/>
          <w:color w:val="000000"/>
          <w:sz w:val="20"/>
        </w:rPr>
        <w:t xml:space="preserve">,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will provide that the federal district courts will be the exclusive forum for resolving any complaint asserting a cause of action arising under the Securities Act. The choice of forum provision may make it more expensive for stockholders to bring a claim than if the stockholders were permitted to select another jurisdiction and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 </w:t>
      </w:r>
    </w:p>
    <w:p>
      <w:pPr>
        <w:pStyle w:val="TextBody"/>
        <w:bidi w:val="0"/>
        <w:spacing w:before="120" w:after="283"/>
        <w:jc w:val="both"/>
        <w:rPr>
          <w:rFonts w:ascii="Times New Roman" w:hAnsi="Times New Roman"/>
          <w:sz w:val="20"/>
        </w:rPr>
      </w:pPr>
      <w:r>
        <w:rPr>
          <w:rFonts w:ascii="Times New Roman" w:hAnsi="Times New Roman"/>
          <w:b/>
          <w:i/>
          <w:color w:val="000000"/>
          <w:sz w:val="20"/>
        </w:rPr>
        <w:t>Unfavorable global economic conditions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or services. Any of the foregoing could harm our business and we cannot anticipate all of the ways in which the current economic climate and financial market conditions could adversely impact our business.</w:t>
      </w:r>
    </w:p>
    <w:p>
      <w:pPr>
        <w:pStyle w:val="TextBody"/>
        <w:bidi w:val="0"/>
        <w:jc w:val="both"/>
        <w:rPr/>
      </w:pPr>
      <w:r>
        <w:rPr/>
        <w:t> </w:t>
      </w:r>
    </w:p>
    <w:p>
      <w:pPr>
        <w:pStyle w:val="TextBody"/>
        <w:bidi w:val="0"/>
        <w:jc w:val="both"/>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both"/>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fiscal quarter ended June 30, 2026, none of our directors and/or officers (as defined in Rule 16a-1(f) under the Exchange Act) adopted or terminated a “Rule 10b5-1 trading arrangement” or “non-Rule 10b5-1 trading arrangement,” as those terms are defined in Regulation S-K, Item 408.</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428"/>
        <w:gridCol w:w="146"/>
        <w:gridCol w:w="529"/>
        <w:gridCol w:w="146"/>
        <w:gridCol w:w="849"/>
        <w:gridCol w:w="146"/>
        <w:gridCol w:w="1192"/>
        <w:gridCol w:w="146"/>
        <w:gridCol w:w="631"/>
        <w:gridCol w:w="146"/>
        <w:gridCol w:w="994"/>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4"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dated March 20, 2023 to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Restated Bylaws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12, 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5">
              <w:r>
                <w:rPr>
                  <w:rStyle w:val="InternetLink"/>
                  <w:rFonts w:ascii="Times New Roman" w:hAnsi="Times New Roman"/>
                  <w:color w:val="0000FF"/>
                  <w:sz w:val="20"/>
                  <w:u w:val="single"/>
                </w:rPr>
                <w:t>3.1</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3.2</w:t>
              </w:r>
            </w:hyperlink>
            <w:r>
              <w:rPr>
                <w:rFonts w:ascii="Times New Roman" w:hAnsi="Times New Roman"/>
                <w:color w:val="000000"/>
                <w:sz w:val="20"/>
              </w:rPr>
              <w:t xml:space="preserve"> and </w:t>
            </w:r>
            <w:hyperlink r:id="rId7">
              <w:r>
                <w:rPr>
                  <w:rStyle w:val="InternetLink"/>
                  <w:rFonts w:ascii="Times New Roman" w:hAnsi="Times New Roman"/>
                  <w:color w:val="0000FF"/>
                  <w:sz w:val="20"/>
                  <w:u w:val="single"/>
                </w:rPr>
                <w:t>3.3</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21, 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Registration Rights Agreement, dated November 21, 2022, by and among CalciMedica, Inc. and the several purchasers signatory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Registration Rights Agreement by and among CalciMedica, Inc. and the persons party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Warrant to Purchase Common Stock dated as of December 11, 2019, by and between the Registrant and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333-248611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4, 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Warrant to Purchase Shares of Series D Convertible Preferred Stock of CalciMedica, Inc</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Warrant to Purchase Common Stock dated as of November 9, 2020, issued by the Registrant to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Warrant to Purchase Common Stock, dated as of October 18, 2022, issued by CalciMedica, Inc. to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Warrant to Purchase Common Stock, dated as of October 18, 2022, issued by CalciMedica, Inc. to Eric Roberts.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Warrant to Purchase Common Stock, dated as of October 25,2022, issued by CalciMedica, Inc. to Fred Middleton.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Warrant to Purchase Shares of Series B Convertible Preferred Stock of CalciMedica,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333-271115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4,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Tranche B Common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Placement Agent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788"/>
        <w:gridCol w:w="146"/>
        <w:gridCol w:w="511"/>
        <w:gridCol w:w="146"/>
        <w:gridCol w:w="814"/>
        <w:gridCol w:w="146"/>
        <w:gridCol w:w="922"/>
        <w:gridCol w:w="146"/>
        <w:gridCol w:w="631"/>
        <w:gridCol w:w="146"/>
        <w:gridCol w:w="95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5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Warrant to Purchase Common Stock, dated as of May 17, 2024, issued by the Registrant to SG Dan Equity Holdings,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12,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Warrant to Purchase Shares of Stock of CalciMedica, Inc. dated February 28, 2025, by and between CalciMedica, Inc. and Avenue Venture Opportunities Fund II, 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Series A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001-297681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24,2026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Series B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001-297684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jc w:val="left"/>
              <w:rPr/>
            </w:pPr>
            <w:hyperlink r:id="rId26">
              <w:r>
                <w:rPr>
                  <w:rStyle w:val="InternetLink"/>
                  <w:rFonts w:ascii="Times New Roman" w:hAnsi="Times New Roman"/>
                  <w:color w:val="0000FF"/>
                  <w:sz w:val="20"/>
                  <w:u w:val="single"/>
                </w:rPr>
                <w:t>First Amendment to Warrant to Purchase Shares of Stock dated June 23, 2026, by and between CalciMedica, Inc. and Avenue Venture Opportunities Fund II, L.P.</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First Amendment Warrant to Purchase Shares of Stock of CalciMedica, Inc. dated June 23, 2026, by and between CalciMedica, Inc., Avenue Venture Opportunities Fund II, L.P. and Avenue Capital Management II, 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jc w:val="left"/>
              <w:rPr/>
            </w:pPr>
            <w:hyperlink r:id="rId28">
              <w:r>
                <w:rPr>
                  <w:rStyle w:val="InternetLink"/>
                  <w:rFonts w:ascii="Times New Roman" w:hAnsi="Times New Roman"/>
                  <w:color w:val="0000FF"/>
                  <w:sz w:val="20"/>
                  <w:u w:val="single"/>
                </w:rPr>
                <w:t>Form of Securities Purchase Agreement, dated June 23, 2026, by and between CalciMedica, Inc. and each of the Investors party thereto</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First Amendment to Loan Documents dated June 23, 2026, by and between CalciMedica, Inc., Avenue Venture Opportunities Fund II, L.P. and Avenue Capital Management II, L.P</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w:anchor="ck0001534133-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w:anchor="ck0001534133-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hyperlink w:anchor="ck0001534133-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8"/>
        <w:gridCol w:w="146"/>
        <w:gridCol w:w="5203"/>
        <w:gridCol w:w="146"/>
        <w:gridCol w:w="511"/>
        <w:gridCol w:w="146"/>
        <w:gridCol w:w="481"/>
        <w:gridCol w:w="146"/>
        <w:gridCol w:w="730"/>
        <w:gridCol w:w="146"/>
        <w:gridCol w:w="631"/>
        <w:gridCol w:w="146"/>
        <w:gridCol w:w="1015"/>
      </w:tblGrid>
      <w:tr>
        <w:trPr/>
        <w:tc>
          <w:tcPr>
            <w:tcW w:w="75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15" w:type="dxa"/>
            <w:tcBorders/>
            <w:shd w:fill="FFFFFF" w:val="clear"/>
            <w:vAlign w:val="center"/>
          </w:tcPr>
          <w:p>
            <w:pPr>
              <w:pStyle w:val="TableContents"/>
              <w:bidi w:val="0"/>
              <w:spacing w:before="0" w:after="283"/>
              <w:jc w:val="left"/>
              <w:rPr>
                <w:sz w:val="4"/>
                <w:szCs w:val="4"/>
              </w:rPr>
            </w:pPr>
            <w:r>
              <w:rPr>
                <w:sz w:val="4"/>
                <w:szCs w:val="4"/>
              </w:rPr>
            </w:r>
          </w:p>
        </w:tc>
      </w:tr>
      <w:tr>
        <w:trPr/>
        <w:tc>
          <w:tcPr>
            <w:tcW w:w="75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3" w:type="dxa"/>
            <w:tcBorders/>
            <w:tcMar>
              <w:top w:w="0" w:type="dxa"/>
              <w:left w:w="0" w:type="dxa"/>
              <w:bottom w:w="0" w:type="dxa"/>
              <w:right w:w="0" w:type="dxa"/>
            </w:tcMar>
            <w:vAlign w:val="center"/>
          </w:tcPr>
          <w:p>
            <w:pPr>
              <w:pStyle w:val="TableContents"/>
              <w:bidi w:val="0"/>
              <w:spacing w:before="0" w:after="283"/>
              <w:jc w:val="left"/>
              <w:rPr/>
            </w:pPr>
            <w:hyperlink w:anchor="ck0001534133-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of the Exchange Act.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 unto duly authorized.</w:t>
      </w:r>
    </w:p>
    <w:p>
      <w:pPr>
        <w:pStyle w:val="TextBody"/>
        <w:bidi w:val="0"/>
        <w:spacing w:before="120" w:after="283"/>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CALCIMEDICA,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 Rachel Leheny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 Rachel Leheny, Ph.D.</w:t>
            </w:r>
            <w:r>
              <w:rPr>
                <w:rFonts w:ascii="Times New Roman" w:hAnsi="Times New Roman"/>
                <w:color w:val="000000"/>
                <w:sz w:val="20"/>
              </w:rPr>
              <w:t xml:space="preserve">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Bardin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Bardin,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bookmarkStart w:id="22" w:name="ck0001534133-ex31_1.htm"/>
      <w:bookmarkStart w:id="23" w:name="ksck0001534133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 Rachel Leheny,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CalciMedica,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53" w:type="dxa"/>
        <w:jc w:val="left"/>
        <w:tblInd w:w="0" w:type="dxa"/>
        <w:tblLayout w:type="fixed"/>
        <w:tblCellMar>
          <w:top w:w="28" w:type="dxa"/>
          <w:left w:w="28" w:type="dxa"/>
          <w:bottom w:w="28" w:type="dxa"/>
          <w:right w:w="28" w:type="dxa"/>
        </w:tblCellMar>
      </w:tblPr>
      <w:tblGrid>
        <w:gridCol w:w="1951"/>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 Rachel Leheny</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 Rachel Leheny,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ck0001534133-ex31_2.htm"/>
      <w:bookmarkStart w:id="25" w:name="ksck0001534133ex31_2"/>
      <w:bookmarkEnd w:id="24"/>
      <w:bookmarkEnd w:id="25"/>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Stephen Bardin,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CalciMedica,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88" w:type="dxa"/>
        <w:jc w:val="left"/>
        <w:tblInd w:w="0" w:type="dxa"/>
        <w:tblLayout w:type="fixed"/>
        <w:tblCellMar>
          <w:top w:w="28" w:type="dxa"/>
          <w:left w:w="28" w:type="dxa"/>
          <w:bottom w:w="28" w:type="dxa"/>
          <w:right w:w="28" w:type="dxa"/>
        </w:tblCellMar>
      </w:tblPr>
      <w:tblGrid>
        <w:gridCol w:w="1951"/>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Bardin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Bardin, MBA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ck0001534133-ex32_1.htm"/>
      <w:bookmarkStart w:id="27" w:name="ksck0001534133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CalciMedica, Inc. (the “Company”) on Form 10-Q for the fiscal quarter ended June 30, 2026 as filed with the Securities and Exchange Commission on the date hereof (the “Report”), I certify, pursuant to the requirement set forth in Rule 13a-14(b) of the Securities Exchange Act of 1934, as amended (the “Exchange Act”) and 18 U.S.C. § 1350, as adopted pursuant to §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293"/>
        <w:gridCol w:w="592"/>
        <w:gridCol w:w="673"/>
        <w:gridCol w:w="1214"/>
        <w:gridCol w:w="7433"/>
      </w:tblGrid>
      <w:tr>
        <w:trPr/>
        <w:tc>
          <w:tcPr>
            <w:tcW w:w="29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433" w:type="dxa"/>
            <w:tcBorders/>
            <w:vAlign w:val="center"/>
          </w:tcPr>
          <w:p>
            <w:pPr>
              <w:pStyle w:val="TableContents"/>
              <w:bidi w:val="0"/>
              <w:spacing w:before="0" w:after="283"/>
              <w:jc w:val="left"/>
              <w:rPr>
                <w:sz w:val="4"/>
                <w:szCs w:val="4"/>
              </w:rPr>
            </w:pPr>
            <w:r>
              <w:rPr>
                <w:sz w:val="4"/>
                <w:szCs w:val="4"/>
              </w:rPr>
            </w:r>
          </w:p>
        </w:tc>
      </w:tr>
      <w:tr>
        <w:trPr/>
        <w:tc>
          <w:tcPr>
            <w:tcW w:w="293" w:type="dxa"/>
            <w:tcBorders/>
            <w:tcMar>
              <w:top w:w="0" w:type="dxa"/>
              <w:left w:w="0" w:type="dxa"/>
              <w:bottom w:w="0" w:type="dxa"/>
              <w:right w:w="0" w:type="dxa"/>
            </w:tcMar>
            <w:vAlign w:val="center"/>
          </w:tcPr>
          <w:p>
            <w:pPr>
              <w:pStyle w:val="TableContents"/>
              <w:bidi w:val="0"/>
              <w:spacing w:before="240" w:after="283"/>
              <w:jc w:val="left"/>
              <w:rPr/>
            </w:pPr>
            <w:r>
              <w:rPr/>
              <w:t> </w:t>
            </w:r>
          </w:p>
        </w:tc>
        <w:tc>
          <w:tcPr>
            <w:tcW w:w="59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320" w:type="dxa"/>
            <w:gridSpan w:val="3"/>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tc>
      </w:tr>
      <w:tr>
        <w:trPr/>
        <w:tc>
          <w:tcPr>
            <w:tcW w:w="293" w:type="dxa"/>
            <w:tcBorders/>
            <w:tcMar>
              <w:top w:w="0" w:type="dxa"/>
              <w:left w:w="0" w:type="dxa"/>
              <w:bottom w:w="0" w:type="dxa"/>
              <w:right w:w="0" w:type="dxa"/>
            </w:tcMar>
            <w:vAlign w:val="center"/>
          </w:tcPr>
          <w:p>
            <w:pPr>
              <w:pStyle w:val="TableContents"/>
              <w:bidi w:val="0"/>
              <w:spacing w:before="240" w:after="283"/>
              <w:jc w:val="left"/>
              <w:rPr/>
            </w:pPr>
            <w:r>
              <w:rPr/>
              <w:t> </w:t>
            </w:r>
          </w:p>
        </w:tc>
        <w:tc>
          <w:tcPr>
            <w:tcW w:w="59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320" w:type="dxa"/>
            <w:gridSpan w:val="3"/>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r>
        <w:trPr/>
        <w:tc>
          <w:tcPr>
            <w:tcW w:w="1558" w:type="dxa"/>
            <w:gridSpan w:val="3"/>
            <w:tcBorders>
              <w:bottom w:val="single" w:sz="6" w:space="0" w:color="FFFFFF"/>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214" w:type="dxa"/>
            <w:tcBorders>
              <w:bottom w:val="single" w:sz="6" w:space="0" w:color="FFFFFF"/>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433"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 Rachel Leheny </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3"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A. Rachel Leheny, Ph.D.</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ck0001534133-ex32_2.htm"/>
      <w:bookmarkStart w:id="29" w:name="ksck0001534133ex32_2"/>
      <w:bookmarkEnd w:id="28"/>
      <w:bookmarkEnd w:id="2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CalciMedica, Inc. (the “Company”) on Form 10-Q for the fiscal quarter ended June 30, 2026 as filed with the Securities and Exchange Commission on the date hereof (the “Report”), I certify, pursuant to the requirement set forth in Rule 13a-14(b) of the Securities Exchange Act of 1934, as amended (the “Exchange Act”) and 18 U.S.C. § 1350, as adopted pursuant to §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331"/>
        <w:gridCol w:w="667"/>
        <w:gridCol w:w="546"/>
        <w:gridCol w:w="870"/>
        <w:gridCol w:w="7791"/>
      </w:tblGrid>
      <w:tr>
        <w:trPr/>
        <w:tc>
          <w:tcPr>
            <w:tcW w:w="33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77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240" w:after="283"/>
              <w:jc w:val="left"/>
              <w:rPr/>
            </w:pPr>
            <w:r>
              <w:rPr/>
              <w:t> </w:t>
            </w:r>
          </w:p>
        </w:tc>
        <w:tc>
          <w:tcPr>
            <w:tcW w:w="66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207" w:type="dxa"/>
            <w:gridSpan w:val="3"/>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pPr>
            <w:r>
              <w:rPr/>
              <w:t> </w:t>
            </w:r>
          </w:p>
        </w:tc>
        <w:tc>
          <w:tcPr>
            <w:tcW w:w="66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207" w:type="dxa"/>
            <w:gridSpan w:val="3"/>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r>
        <w:trPr/>
        <w:tc>
          <w:tcPr>
            <w:tcW w:w="1544" w:type="dxa"/>
            <w:gridSpan w:val="3"/>
            <w:tcBorders>
              <w:bottom w:val="single" w:sz="6" w:space="0" w:color="FFFFFF"/>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870" w:type="dxa"/>
            <w:tcBorders>
              <w:bottom w:val="single" w:sz="6" w:space="0" w:color="FFFFFF"/>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7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Bardin</w:t>
            </w:r>
          </w:p>
        </w:tc>
      </w:tr>
      <w:tr>
        <w:trPr/>
        <w:tc>
          <w:tcPr>
            <w:tcW w:w="1544"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Bardin, MBA</w:t>
            </w:r>
          </w:p>
        </w:tc>
      </w:tr>
      <w:tr>
        <w:trPr/>
        <w:tc>
          <w:tcPr>
            <w:tcW w:w="154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4133/000119312523076714/d485425dex31.htm" TargetMode="External"/><Relationship Id="rId3" Type="http://schemas.openxmlformats.org/officeDocument/2006/relationships/hyperlink" Target="https://www.sec.gov/Archives/edgar/data/1534133/000119312523076714/d485425dex32.htm" TargetMode="External"/><Relationship Id="rId4" Type="http://schemas.openxmlformats.org/officeDocument/2006/relationships/hyperlink" Target="https://www.sec.gov/Archives/edgar/data/1534133/000156459020053539/gray-ex32_105.htm" TargetMode="External"/><Relationship Id="rId5" Type="http://schemas.openxmlformats.org/officeDocument/2006/relationships/hyperlink" Target="https://www.sec.gov/Archives/edgar/data/1534133/000119312523076714/d485425dex31.htm" TargetMode="External"/><Relationship Id="rId6" Type="http://schemas.openxmlformats.org/officeDocument/2006/relationships/hyperlink" Target="https://www.sec.gov/Archives/edgar/data/1534133/000119312523076714/d485425dex32.htm" TargetMode="External"/><Relationship Id="rId7" Type="http://schemas.openxmlformats.org/officeDocument/2006/relationships/hyperlink" Target="https://www.sec.gov/Archives/edgar/data/1534133/000156459020053539/gray-ex32_105.htm" TargetMode="External"/><Relationship Id="rId8" Type="http://schemas.openxmlformats.org/officeDocument/2006/relationships/hyperlink" Target="https://www.sec.gov/Archives/edgar/data/1534133/000119312520249556/d796801dex41.htm" TargetMode="External"/><Relationship Id="rId9" Type="http://schemas.openxmlformats.org/officeDocument/2006/relationships/hyperlink" Target="https://www.sec.gov/Archives/edgar/data/1534133/000119312523076714/d485425dex41.htm" TargetMode="External"/><Relationship Id="rId10" Type="http://schemas.openxmlformats.org/officeDocument/2006/relationships/hyperlink" Target="https://www.sec.gov/Archives/edgar/data/1534133/000119312524011738/d738337dex102.htm" TargetMode="External"/><Relationship Id="rId11" Type="http://schemas.openxmlformats.org/officeDocument/2006/relationships/hyperlink" Target="https://www.sec.gov/Archives/edgar/data/1534133/000119312520240042/d796801dex43.htm" TargetMode="External"/><Relationship Id="rId12" Type="http://schemas.openxmlformats.org/officeDocument/2006/relationships/hyperlink" Target="https://www.sec.gov/Archives/edgar/data/1534133/000119312523076714/d485425dex42.htm" TargetMode="External"/><Relationship Id="rId13" Type="http://schemas.openxmlformats.org/officeDocument/2006/relationships/hyperlink" Target="https://www.sec.gov/Archives/edgar/data/1534133/000119312523076714/d485425dex43.htm" TargetMode="External"/><Relationship Id="rId14" Type="http://schemas.openxmlformats.org/officeDocument/2006/relationships/hyperlink" Target="https://www.sec.gov/Archives/edgar/data/1534133/000119312523076714/d485425dex44.htm" TargetMode="External"/><Relationship Id="rId15" Type="http://schemas.openxmlformats.org/officeDocument/2006/relationships/hyperlink" Target="https://www.sec.gov/Archives/edgar/data/1534133/000119312523076714/d485425dex45.htm" TargetMode="External"/><Relationship Id="rId16" Type="http://schemas.openxmlformats.org/officeDocument/2006/relationships/hyperlink" Target="https://www.sec.gov/Archives/edgar/data/1534133/000119312523076714/d485425dex46.htm" TargetMode="External"/><Relationship Id="rId17" Type="http://schemas.openxmlformats.org/officeDocument/2006/relationships/hyperlink" Target="https://www.sec.gov/Archives/edgar/data/1534133/000119312523090982/d482049dex49.htm" TargetMode="External"/><Relationship Id="rId18" Type="http://schemas.openxmlformats.org/officeDocument/2006/relationships/hyperlink" Target="https://www.sec.gov/Archives/edgar/data/1534133/000119312524011738/d738337dex42.htm" TargetMode="External"/><Relationship Id="rId19" Type="http://schemas.openxmlformats.org/officeDocument/2006/relationships/hyperlink" Target="https://www.sec.gov/Archives/edgar/data/1534133/000119312524011738/d738337dex44.htm" TargetMode="External"/><Relationship Id="rId20" Type="http://schemas.openxmlformats.org/officeDocument/2006/relationships/hyperlink" Target="https://www.sec.gov/Archives/edgar/data/1534133/000095017024095490/ck0001534133-ex4_16.htm" TargetMode="External"/><Relationship Id="rId21" Type="http://schemas.openxmlformats.org/officeDocument/2006/relationships/hyperlink" Target="https://www.sec.gov/Archives/edgar/data/1534133/000119312525046225/d940326dex41.htm" TargetMode="External"/><Relationship Id="rId22" Type="http://schemas.openxmlformats.org/officeDocument/2006/relationships/hyperlink" Target="https://www.sec.gov/Archives/edgar/data/1534133/000119312526281246/d142943dex41.htm" TargetMode="External"/><Relationship Id="rId23" Type="http://schemas.openxmlformats.org/officeDocument/2006/relationships/hyperlink" Target="https://www.sec.gov/Archives/edgar/data/1534133/000119312526316100/d169379dex423.htm" TargetMode="External"/><Relationship Id="rId24" Type="http://schemas.openxmlformats.org/officeDocument/2006/relationships/hyperlink" Target="https://www.sec.gov/Archives/edgar/data/1534133/000119312526316100/d169379dex424.htm" TargetMode="External"/><Relationship Id="rId25" Type="http://schemas.openxmlformats.org/officeDocument/2006/relationships/hyperlink" Target="https://www.sec.gov/Archives/edgar/data/1534133/000119312526281246/d142943dex41.htm" TargetMode="External"/><Relationship Id="rId26" Type="http://schemas.openxmlformats.org/officeDocument/2006/relationships/hyperlink" Target="https://www.sec.gov/Archives/edgar/data/1534133/000119312526281246/d142943dex42.htm" TargetMode="External"/><Relationship Id="rId27" Type="http://schemas.openxmlformats.org/officeDocument/2006/relationships/hyperlink" Target="https://www.sec.gov/Archives/edgar/data/1534133/000119312526281246/d142943dex43.htm" TargetMode="External"/><Relationship Id="rId28" Type="http://schemas.openxmlformats.org/officeDocument/2006/relationships/hyperlink" Target="https://www.sec.gov/Archives/edgar/data/1534133/000119312526281246/d142943dex101.htm" TargetMode="External"/><Relationship Id="rId29" Type="http://schemas.openxmlformats.org/officeDocument/2006/relationships/hyperlink" Target="https://www.sec.gov/Archives/edgar/data/1534133/000119312526280223/d40651dex101.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70332</Words>
  <Characters>390363</Characters>
  <CharactersWithSpaces>461491</CharactersWithSpaces>
  <Paragraphs>6771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