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4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41914d8k.htm"/>
      <w:bookmarkStart w:id="1" w:name="ksd441914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August 11, 2023</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CalciMedica,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001-39538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45-2120079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505 Coast Boulevard South, Suite 307</w:t>
            </w:r>
          </w:p>
          <w:p>
            <w:pPr>
              <w:pStyle w:val="TableContents"/>
              <w:bidi w:val="0"/>
              <w:spacing w:before="0" w:after="20"/>
              <w:jc w:val="center"/>
              <w:rPr>
                <w:rFonts w:ascii="Times New Roman" w:hAnsi="Times New Roman"/>
                <w:b/>
                <w:sz w:val="20"/>
              </w:rPr>
            </w:pPr>
            <w:r>
              <w:rPr>
                <w:rFonts w:ascii="Times New Roman" w:hAnsi="Times New Roman"/>
                <w:b/>
                <w:sz w:val="20"/>
              </w:rPr>
              <w:t>La Jolla,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92037</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(858) 952-5500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45" w:type="dxa"/>
        <w:jc w:val="left"/>
        <w:tblInd w:w="0" w:type="dxa"/>
        <w:tblLayout w:type="fixed"/>
        <w:tblCellMar>
          <w:top w:w="0" w:type="dxa"/>
          <w:left w:w="0" w:type="dxa"/>
          <w:bottom w:w="0" w:type="dxa"/>
          <w:right w:w="0" w:type="dxa"/>
        </w:tblCellMar>
      </w:tblPr>
      <w:tblGrid>
        <w:gridCol w:w="4265"/>
        <w:gridCol w:w="60"/>
        <w:gridCol w:w="740"/>
        <w:gridCol w:w="60"/>
        <w:gridCol w:w="272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CALC</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2275" w:type="dxa"/>
        <w:jc w:val="left"/>
        <w:tblInd w:w="0" w:type="dxa"/>
        <w:tblLayout w:type="fixed"/>
        <w:tblCellMar>
          <w:top w:w="0" w:type="dxa"/>
          <w:left w:w="0" w:type="dxa"/>
          <w:bottom w:w="0" w:type="dxa"/>
          <w:right w:w="0" w:type="dxa"/>
        </w:tblCellMar>
      </w:tblPr>
      <w:tblGrid>
        <w:gridCol w:w="1040"/>
        <w:gridCol w:w="1235"/>
      </w:tblGrid>
      <w:tr>
        <w:trPr/>
        <w:tc>
          <w:tcPr>
            <w:tcW w:w="1040"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Updated Business Description </w:t>
      </w:r>
    </w:p>
    <w:p>
      <w:pPr>
        <w:pStyle w:val="TextBody"/>
        <w:bidi w:val="0"/>
        <w:spacing w:before="120" w:after="0"/>
        <w:jc w:val="left"/>
        <w:rPr>
          <w:rFonts w:ascii="Times New Roman" w:hAnsi="Times New Roman"/>
          <w:sz w:val="20"/>
        </w:rPr>
      </w:pPr>
      <w:r>
        <w:rPr>
          <w:rFonts w:ascii="Times New Roman" w:hAnsi="Times New Roman"/>
          <w:sz w:val="20"/>
        </w:rPr>
        <w:t xml:space="preserve">CalciMedica, Inc. (the “Company”) is filing certain information for the purpose of updating descriptions of the Company’s business contained in the Company’s other filings with the Securities and Exchange Commission (the “SEC”). Copies of the additional disclosure is attached as Exhibits 99.1 to this report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Recasted Statements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reported, on March 20, 2023, the Delaware corporation formerly known as “Graybug Vision, Inc.” completed its previously announced merger transaction in accordance with the terms and conditions of the Agreement and Plan of Merger and Reorganization, dated as of November 21, 2022, as amended on February 10, 2023 (the “Merger Agreement”), by and among Graybug Vision, Inc. (“Graybug”), Camaro Merger Sub, Inc., a wholly owned subsidiary of Graybug (“Merger Sub”), and CalciMedica, Inc. (“Private CalciMedica”), pursuant to which Merger Sub merged with and into Private CalciMedica, with Private CalciMedica surviving the merger as a wholly owned subsidiary of Graybug (the “Merger”). Additionally, on March 20, 2023, the Company changed its name from “Graybug Vision, Inc.” to “CalciMedica, Inc.”. </w:t>
      </w:r>
    </w:p>
    <w:p>
      <w:pPr>
        <w:pStyle w:val="TextBody"/>
        <w:bidi w:val="0"/>
        <w:spacing w:before="240" w:after="0"/>
        <w:jc w:val="left"/>
        <w:rPr>
          <w:rFonts w:ascii="Times New Roman" w:hAnsi="Times New Roman"/>
          <w:sz w:val="20"/>
        </w:rPr>
      </w:pPr>
      <w:r>
        <w:rPr>
          <w:rFonts w:ascii="Times New Roman" w:hAnsi="Times New Roman"/>
          <w:sz w:val="20"/>
        </w:rPr>
        <w:t xml:space="preserve">As previously reported, on March 17, 2023, in connection with the transactions contemplated by the Merger Agreement, Graybug filed an Amended and Restated Certificate of Incorporation effecting a reverse stock split of Graybug’s common stock at a ratio of 14:1 (the “Reverse Stock Split”). In connection with the Merger, the Company issued common stock to Private CalciMedica stockholders based on an exchange ratio of approximately 0.0288 shares of common stock for each share of Private CalciMedica capital stock (which exchange ratio reflects the Reverse Stock Split) (the “Exchange Ratio”). To reflect the Exchange Ratio, the audited financial statements of Private CalciMedica as of December 31, 2022 and 2021 and for the years then ended have been recasted and are filed herewith as Exhibit 99.2. There have been no other changes to such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which include, but are not limited to, statements regarding the Company’s business strategy; the design and potential benefits of Auxora; the Company’s plans and expected timing for developing its product candidates and potential benefits of its product candidates; the Company’s ongoing and planned clinical trials; the development and outcomes of CARPO and CRSPA trial programs, including the milestones, data announcements, expected enrollment and any other potential results related thereto; and the timing and likelihood of regulatory filings and approvals for the Company’s product candidates. These forward-looking statements are subject to the safe harbor provisions under the Private Securities Litigation Reform Act of 1995. The Company’s expectations and beliefs regarding these matters may not materialize. Actual outcomes and results may differ materially from those contemplated by these forward-looking statements as a result of uncertainties, risks, and changes in circumstances, including but not limited to risks and uncertainties related to: the impact of fluctuations in global financial markets on the Company’s business and the actions it may take in response thereto; the Company’s ability to execute its plans and strategies; the ability to obtain and maintain regulatory approval for Auxora; results from clinical trials may not be indicative of results that may be observed in the future; potential safety and other complications from Auxora; the scope progress and expansion of developing and commercializing Auxora; the size and growth of the market therefor and the rate and degree of market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acceptance thereof; economic, business, competitive, and/or regulatory factors affecting the Company’s business generally; the Company’s ability to protect its intellectual property position; and the impact of government laws and regulations. Additional risks and uncertainties that could cause actual outcomes and results to differ materially from those contemplated by the forward-looking statements are included under the caption “Risk Factors” in the Company’s Quarterly Report on Form 10-Q for the quarter ended June 30, 2023 and elsewhere in the Company’s subsequent reports on Form 10-K, Form 10-Q or Form 8-K filed with the SEC from time to time and available at www.sec.gov. These documents can be accessed on the Company’s web page at ir.calcimedica.com/financials-filings/sec-filings. The forward-looking statements included in this Current Report on Form 8-K are made only as of the date hereof. The Company assumes no obligation and does not intend to update these forward-looking statements, except as required by law.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980"/>
        <w:gridCol w:w="2960"/>
      </w:tblGrid>
      <w:tr>
        <w:trPr/>
        <w:tc>
          <w:tcPr>
            <w:tcW w:w="980"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41914dex231.htm">
              <w:r>
                <w:rPr>
                  <w:rStyle w:val="InternetLink"/>
                </w:rPr>
                <w:t xml:space="preserve">Consent of Independent Registered Public Accounting Firm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41914dex991.htm">
              <w:r>
                <w:rPr>
                  <w:rStyle w:val="InternetLink"/>
                </w:rPr>
                <w:t xml:space="preserve">Updated Business Description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41914dex992.htm">
              <w:r>
                <w:rPr>
                  <w:rStyle w:val="InternetLink"/>
                </w:rPr>
                <w:t xml:space="preserve">Audited recasted financial statements of Private CalciMedica as of and for the years ended December 31, 2022 and 2021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498"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245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11,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60" w:type="dxa"/>
            <w:gridSpan w:val="3"/>
            <w:tcBorders/>
            <w:vAlign w:val="center"/>
          </w:tcPr>
          <w:p>
            <w:pPr>
              <w:pStyle w:val="TableContents"/>
              <w:bidi w:val="0"/>
              <w:spacing w:before="0" w:after="283"/>
              <w:jc w:val="left"/>
              <w:rPr>
                <w:b/>
              </w:rPr>
            </w:pPr>
            <w:r>
              <w:rPr>
                <w:b/>
              </w:rPr>
              <w:t>CalciMedica,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51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A. Rachel Leheny, Ph.D.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A. Rachel Leheny, Ph.D.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441914dex231.htm"/>
      <w:bookmarkStart w:id="3" w:name="ksd441914dex231"/>
      <w:bookmarkEnd w:id="2"/>
      <w:bookmarkEnd w:id="3"/>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following Registration Statements: </w:t>
      </w:r>
    </w:p>
    <w:p>
      <w:pPr>
        <w:pStyle w:val="TextBody"/>
        <w:bidi w:val="0"/>
        <w:spacing w:before="120" w:after="0"/>
        <w:jc w:val="left"/>
        <w:rPr>
          <w:rFonts w:ascii="Times New Roman" w:hAnsi="Times New Roman"/>
          <w:sz w:val="20"/>
        </w:rPr>
      </w:pPr>
      <w:r>
        <w:rPr>
          <w:rFonts w:ascii="Times New Roman" w:hAnsi="Times New Roman"/>
          <w:sz w:val="20"/>
        </w:rPr>
        <w:t xml:space="preserve">(1) Registration Statement (Form S-3 No. 333-271115) of CalciMedica, Inc., </w:t>
      </w:r>
    </w:p>
    <w:p>
      <w:pPr>
        <w:pStyle w:val="TextBody"/>
        <w:bidi w:val="0"/>
        <w:spacing w:before="120" w:after="0"/>
        <w:jc w:val="left"/>
        <w:rPr>
          <w:rFonts w:ascii="Times New Roman" w:hAnsi="Times New Roman"/>
          <w:sz w:val="20"/>
        </w:rPr>
      </w:pPr>
      <w:r>
        <w:rPr>
          <w:rFonts w:ascii="Times New Roman" w:hAnsi="Times New Roman"/>
          <w:sz w:val="20"/>
        </w:rPr>
        <w:t xml:space="preserve">(2) Registration Statement (Form S-8 No. 333-271898) pertaining to the Amended and Restated 2006 Stock Plan, 2023 Equity Incentive Plan, 2023 Employee Stock Purchase Plan of CalciMedica, Inc. </w:t>
      </w:r>
    </w:p>
    <w:p>
      <w:pPr>
        <w:pStyle w:val="TextBody"/>
        <w:bidi w:val="0"/>
        <w:spacing w:before="120" w:after="0"/>
        <w:jc w:val="left"/>
        <w:rPr>
          <w:rFonts w:ascii="Times New Roman" w:hAnsi="Times New Roman"/>
          <w:sz w:val="20"/>
        </w:rPr>
      </w:pPr>
      <w:r>
        <w:rPr>
          <w:rFonts w:ascii="Times New Roman" w:hAnsi="Times New Roman"/>
          <w:sz w:val="20"/>
        </w:rPr>
        <w:t xml:space="preserve">(3) Registration Statement (Form S-8 No. 333-249033) pertaining to the 2020 Equity Incentive Plan, 2020 Employee Stock Purchase Plan and 2015 Stock Incentive Plan of CalciMedica, Inc. (formerly Graybug Vision, Inc.), </w:t>
      </w:r>
    </w:p>
    <w:p>
      <w:pPr>
        <w:pStyle w:val="TextBody"/>
        <w:bidi w:val="0"/>
        <w:spacing w:before="120" w:after="0"/>
        <w:jc w:val="left"/>
        <w:rPr>
          <w:rFonts w:ascii="Times New Roman" w:hAnsi="Times New Roman"/>
          <w:sz w:val="20"/>
        </w:rPr>
      </w:pPr>
      <w:r>
        <w:rPr>
          <w:rFonts w:ascii="Times New Roman" w:hAnsi="Times New Roman"/>
          <w:sz w:val="20"/>
        </w:rPr>
        <w:t xml:space="preserve">(4) Registration Statements (Forms S-8 Nos. 333-254522 and 333-263464) pertaining to the 2020 Equity Incentive Plan of CalciMedica, Inc. (formerly Graybug Vision, Inc.), and </w:t>
      </w:r>
    </w:p>
    <w:p>
      <w:pPr>
        <w:pStyle w:val="TextBody"/>
        <w:bidi w:val="0"/>
        <w:spacing w:before="120" w:after="0"/>
        <w:jc w:val="left"/>
        <w:rPr>
          <w:rFonts w:ascii="Times New Roman" w:hAnsi="Times New Roman"/>
          <w:sz w:val="20"/>
        </w:rPr>
      </w:pPr>
      <w:r>
        <w:rPr>
          <w:rFonts w:ascii="Times New Roman" w:hAnsi="Times New Roman"/>
          <w:sz w:val="20"/>
        </w:rPr>
        <w:t xml:space="preserve">(5) Registration Statement (Form S-8 No. 333-266980) pertaining to the Amended and Restated 2020 Equity Incentive Plan of CalciMedica, Inc. (formerly Graybug Vision, Inc.); </w:t>
      </w:r>
    </w:p>
    <w:p>
      <w:pPr>
        <w:pStyle w:val="TextBody"/>
        <w:bidi w:val="0"/>
        <w:spacing w:before="240" w:after="0"/>
        <w:jc w:val="left"/>
        <w:rPr>
          <w:rFonts w:ascii="Times New Roman" w:hAnsi="Times New Roman"/>
          <w:sz w:val="20"/>
        </w:rPr>
      </w:pPr>
      <w:r>
        <w:rPr>
          <w:rFonts w:ascii="Times New Roman" w:hAnsi="Times New Roman"/>
          <w:sz w:val="20"/>
        </w:rPr>
        <w:t xml:space="preserve">of our report dated April 4, 2023 (except for Note 2, as to which the date is May 12, 2023 and the effects of the exchange ratio described in Note 3, as to which the date is August 11, 2023), with respect to the financial statements of CalciMedica, Inc., included in this Current Report on Form 8-K of CalciMedica, Inc. (formerly Graybug Vision, Inc.).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11, 2023 </w:t>
      </w:r>
    </w:p>
    <w:p>
      <w:pPr>
        <w:pStyle w:val="TextBody"/>
        <w:bidi w:val="0"/>
        <w:spacing w:before="0" w:after="0"/>
        <w:jc w:val="right"/>
        <w:rPr>
          <w:rFonts w:ascii="Times New Roman" w:hAnsi="Times New Roman"/>
          <w:b/>
          <w:sz w:val="20"/>
        </w:rPr>
      </w:pPr>
      <w:bookmarkStart w:id="4" w:name="d441914dex991.htm"/>
      <w:bookmarkStart w:id="5" w:name="ksd441914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BUSINESS SECTION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Company Overview </w:t>
      </w:r>
    </w:p>
    <w:p>
      <w:pPr>
        <w:pStyle w:val="TextBody"/>
        <w:bidi w:val="0"/>
        <w:spacing w:before="120" w:after="0"/>
        <w:jc w:val="left"/>
        <w:rPr>
          <w:rFonts w:ascii="Times New Roman" w:hAnsi="Times New Roman"/>
          <w:sz w:val="20"/>
        </w:rPr>
      </w:pPr>
      <w:r>
        <w:rPr>
          <w:rFonts w:ascii="Times New Roman" w:hAnsi="Times New Roman"/>
          <w:sz w:val="20"/>
        </w:rPr>
        <w:t>We are a clinical-stage biopharmaceutical company focused on developing therapeutics that treat serious illnesses driven by inflammatory and immunologic processes and direct cellular damage. Our product candidates act upon calcium release-activated calcium (</w:t>
      </w:r>
      <w:r>
        <w:rPr>
          <w:rFonts w:ascii="Times New Roman" w:hAnsi="Times New Roman"/>
          <w:b/>
          <w:sz w:val="20"/>
        </w:rPr>
        <w:t>CRAC</w:t>
      </w:r>
      <w:r>
        <w:rPr>
          <w:rFonts w:ascii="Times New Roman" w:hAnsi="Times New Roman"/>
          <w:sz w:val="20"/>
        </w:rPr>
        <w:t xml:space="preserve">) channels, and would constitute a new class of drugs. </w:t>
      </w:r>
    </w:p>
    <w:p>
      <w:pPr>
        <w:pStyle w:val="TextBody"/>
        <w:bidi w:val="0"/>
        <w:spacing w:before="240" w:after="0"/>
        <w:jc w:val="left"/>
        <w:rPr>
          <w:rFonts w:ascii="Times New Roman" w:hAnsi="Times New Roman"/>
          <w:sz w:val="20"/>
        </w:rPr>
      </w:pPr>
      <w:r>
        <w:rPr>
          <w:rFonts w:ascii="Times New Roman" w:hAnsi="Times New Roman"/>
          <w:sz w:val="20"/>
        </w:rPr>
        <w:t xml:space="preserve">We are a company focused on the discovery and development of CRAC channel inhibitors. Clinical and preclinical data have demonstrated that the inhibition of CRAC channels may have a therapeutic effect based on a dual mechanism involving both anti-inflammatory and tissue cell protective activities. Our work has shown compelling evidence of the involvement of CRAC channels in a broad spectrum of both acute critical illnesses and chronic diseases that have the common thread of inflammation or immunologic activity in their pathogenesis. We intend to leverage our CRAC channel inhibitor platform to develop therapeutics for indications where this dual mechanism of action has the potential for clinical benefit. . </w:t>
      </w:r>
    </w:p>
    <w:p>
      <w:pPr>
        <w:pStyle w:val="TextBody"/>
        <w:bidi w:val="0"/>
        <w:spacing w:before="240" w:after="0"/>
        <w:jc w:val="left"/>
        <w:rPr>
          <w:rFonts w:ascii="Times New Roman" w:hAnsi="Times New Roman"/>
          <w:sz w:val="20"/>
        </w:rPr>
      </w:pPr>
      <w:r>
        <w:rPr>
          <w:rFonts w:ascii="Times New Roman" w:hAnsi="Times New Roman"/>
          <w:sz w:val="20"/>
        </w:rPr>
        <w:t>Our lead product candidate is Auxora, a potent and selective intravenous (</w:t>
      </w:r>
      <w:r>
        <w:rPr>
          <w:rFonts w:ascii="Times New Roman" w:hAnsi="Times New Roman"/>
          <w:b/>
          <w:sz w:val="20"/>
        </w:rPr>
        <w:t>IV</w:t>
      </w:r>
      <w:r>
        <w:rPr>
          <w:rFonts w:ascii="Times New Roman" w:hAnsi="Times New Roman"/>
          <w:sz w:val="20"/>
        </w:rPr>
        <w:t>) formulated small molecule CRAC channel inhibitor containing the active compound zegocractin (formerly referred to as CM4620) that, in animal models, reduced acute epithelial and/or endothelial cell injury and inflammation in organs, such as the pancreas, lungs and kidneys. Multiple Phase 2 clinical trials with Auxora have been conducted: an open-label trial in acute pancreatitis (</w:t>
      </w:r>
      <w:r>
        <w:rPr>
          <w:rFonts w:ascii="Times New Roman" w:hAnsi="Times New Roman"/>
          <w:b/>
          <w:sz w:val="20"/>
        </w:rPr>
        <w:t>AP</w:t>
      </w:r>
      <w:r>
        <w:rPr>
          <w:rFonts w:ascii="Times New Roman" w:hAnsi="Times New Roman"/>
          <w:sz w:val="20"/>
        </w:rPr>
        <w:t>), an investigator led open label trial in asparaginase induced pancreatic toxicity (</w:t>
      </w:r>
      <w:r>
        <w:rPr>
          <w:rFonts w:ascii="Times New Roman" w:hAnsi="Times New Roman"/>
          <w:b/>
          <w:sz w:val="20"/>
        </w:rPr>
        <w:t>AIPT</w:t>
      </w:r>
      <w:r>
        <w:rPr>
          <w:rFonts w:ascii="Times New Roman" w:hAnsi="Times New Roman"/>
          <w:sz w:val="20"/>
        </w:rPr>
        <w:t>)(which we also refer to as </w:t>
      </w:r>
      <w:r>
        <w:rPr>
          <w:rFonts w:ascii="Times New Roman" w:hAnsi="Times New Roman"/>
          <w:b/>
          <w:sz w:val="20"/>
        </w:rPr>
        <w:t>CRSPA</w:t>
      </w:r>
      <w:r>
        <w:rPr>
          <w:rFonts w:ascii="Times New Roman" w:hAnsi="Times New Roman"/>
          <w:sz w:val="20"/>
        </w:rPr>
        <w:t>) in which the first cohort of patients has been completed, a placebo-controlled double-blind trial in severe COVID-19 pneumonia (which we also refer to as </w:t>
      </w:r>
      <w:r>
        <w:rPr>
          <w:rFonts w:ascii="Times New Roman" w:hAnsi="Times New Roman"/>
          <w:b/>
          <w:sz w:val="20"/>
        </w:rPr>
        <w:t>CARDEA</w:t>
      </w:r>
      <w:r>
        <w:rPr>
          <w:rFonts w:ascii="Times New Roman" w:hAnsi="Times New Roman"/>
          <w:sz w:val="20"/>
        </w:rPr>
        <w:t>) and an investigator led open-label trial in COVID-19 pneumonia patients with acute respiratory distress syndrome (</w:t>
      </w:r>
      <w:r>
        <w:rPr>
          <w:rFonts w:ascii="Times New Roman" w:hAnsi="Times New Roman"/>
          <w:b/>
          <w:sz w:val="20"/>
        </w:rPr>
        <w:t>ARDS</w:t>
      </w:r>
      <w:r>
        <w:rPr>
          <w:rFonts w:ascii="Times New Roman" w:hAnsi="Times New Roman"/>
          <w:sz w:val="20"/>
        </w:rPr>
        <w:t xml:space="preserve">). We observed in all of these trials that patients treated with Auxora experienced a reduced time to recovery and a reduction of organ damage. We believe the consistency of the results we observed from these trials in two different acute critical care conditions are mutually supportive and reinforce our plans to further pursue the use of Auxora in several additional acute critical illnesses. </w:t>
      </w:r>
    </w:p>
    <w:p>
      <w:pPr>
        <w:pStyle w:val="TextBody"/>
        <w:bidi w:val="0"/>
        <w:spacing w:before="240" w:after="0"/>
        <w:jc w:val="left"/>
        <w:rPr>
          <w:rFonts w:ascii="Times New Roman" w:hAnsi="Times New Roman"/>
          <w:sz w:val="20"/>
        </w:rPr>
      </w:pPr>
      <w:r>
        <w:rPr>
          <w:rFonts w:ascii="Times New Roman" w:hAnsi="Times New Roman"/>
          <w:sz w:val="20"/>
        </w:rPr>
        <w:t>In a Phase 2a trial conducted in the United States in patients with AP and accompanying systemic inflammatory response syndrome (</w:t>
      </w:r>
      <w:r>
        <w:rPr>
          <w:rFonts w:ascii="Times New Roman" w:hAnsi="Times New Roman"/>
          <w:b/>
          <w:sz w:val="20"/>
        </w:rPr>
        <w:t>SIRS</w:t>
      </w:r>
      <w:r>
        <w:rPr>
          <w:rFonts w:ascii="Times New Roman" w:hAnsi="Times New Roman"/>
          <w:sz w:val="20"/>
        </w:rPr>
        <w:t>) along with hypoxemia (low concentration of oxygen in blood), a greater proportion of patients treated with Auxora compared to standard of care (</w:t>
      </w:r>
      <w:r>
        <w:rPr>
          <w:rFonts w:ascii="Times New Roman" w:hAnsi="Times New Roman"/>
          <w:b/>
          <w:sz w:val="20"/>
        </w:rPr>
        <w:t>SOC</w:t>
      </w:r>
      <w:r>
        <w:rPr>
          <w:rFonts w:ascii="Times New Roman" w:hAnsi="Times New Roman"/>
          <w:sz w:val="20"/>
        </w:rPr>
        <w:t xml:space="preserve">) alone experienced resolution of persistent SIRS (SIRS lasting 48 hours or more) and tolerated solid food at 72 hours, an indicator of disease resolution. The majority of patients with respiratory failure treated with Auxora did not require mechanical ventilation. This resulted in hospital discharge for patients treated with Auxora more than two days earlier than those treated with SOC alone. These findings were published in the peer-reviewed journal </w:t>
      </w:r>
      <w:r>
        <w:rPr>
          <w:rFonts w:ascii="Times New Roman" w:hAnsi="Times New Roman"/>
          <w:i/>
          <w:sz w:val="20"/>
        </w:rPr>
        <w:t xml:space="preserve">Pancreas </w:t>
      </w:r>
      <w:r>
        <w:rPr>
          <w:rFonts w:ascii="Times New Roman" w:hAnsi="Times New Roman"/>
          <w:sz w:val="20"/>
        </w:rPr>
        <w:t>in 2021. We are currently conducting a blinded placebo-controlled Phase 2b trial in the United States in patients with AP and accompanying SIRS (which we also refer to as </w:t>
      </w:r>
      <w:r>
        <w:rPr>
          <w:rFonts w:ascii="Times New Roman" w:hAnsi="Times New Roman"/>
          <w:b/>
          <w:sz w:val="20"/>
        </w:rPr>
        <w:t>CARPO</w:t>
      </w:r>
      <w:r>
        <w:rPr>
          <w:rFonts w:ascii="Times New Roman" w:hAnsi="Times New Roman"/>
          <w:sz w:val="20"/>
        </w:rPr>
        <w:t xml:space="preserve">). We anticipate topline results from the CARPO trial in the first half of 2024. </w:t>
      </w:r>
    </w:p>
    <w:p>
      <w:pPr>
        <w:pStyle w:val="TextBody"/>
        <w:bidi w:val="0"/>
        <w:spacing w:before="240" w:after="0"/>
        <w:jc w:val="left"/>
        <w:rPr>
          <w:rFonts w:ascii="Times New Roman" w:hAnsi="Times New Roman"/>
          <w:sz w:val="20"/>
        </w:rPr>
      </w:pPr>
      <w:r>
        <w:rPr>
          <w:rFonts w:ascii="Times New Roman" w:hAnsi="Times New Roman"/>
          <w:sz w:val="20"/>
        </w:rPr>
        <w:t>CRSPA, a Phase 1/2 single arm trial, is currently being conducted in the United States in pediatric patients with acute lymphoblastic leukemia (</w:t>
      </w:r>
      <w:r>
        <w:rPr>
          <w:rFonts w:ascii="Times New Roman" w:hAnsi="Times New Roman"/>
          <w:b/>
          <w:sz w:val="20"/>
        </w:rPr>
        <w:t>ALL</w:t>
      </w:r>
      <w:r>
        <w:rPr>
          <w:rFonts w:ascii="Times New Roman" w:hAnsi="Times New Roman"/>
          <w:sz w:val="20"/>
        </w:rPr>
        <w:t xml:space="preserve">) who have developed pancreatitis as a side-effect of asparaginase or AIPT. AIPT is a particularly severe form of pancreatitis and historical data suggests that over half of the patients will develop pancreatic necrosis or pseudocysts and may not receive further asparaginase treatments for their ALL, potentially impacting their prognosis, and develop long term health complications including chronic pancreatitis. The first cohort of nine patients in this trial has been completed, and, based on preliminary, unpublished data, all patients who have received a full course of therapy have had a more rapid resolution of their symptoms as compared to the current standard of care. According to clinical data published by Mauney, et. al., in the Journal of Pediatric Gastroenterology and Nutrition in March 2022, patients who developed AIPT have a median length of stay in the hospital of 10 days, whereas the median length of stay for patients treated with Auxora was less than six days consistent with their resolution of symptoms. This is a single arm open-label trial and comparison to a blinded matched historical control group is underway. We expect data from this trial to be published in the fourth quarter of 2023. While initially a single-center trial, this trial is now being expanded to additional sites. </w:t>
      </w:r>
    </w:p>
    <w:p>
      <w:pPr>
        <w:pStyle w:val="TextBody"/>
        <w:bidi w:val="0"/>
        <w:spacing w:before="240" w:after="0"/>
        <w:jc w:val="left"/>
        <w:rPr>
          <w:rFonts w:ascii="Times New Roman" w:hAnsi="Times New Roman"/>
          <w:sz w:val="20"/>
        </w:rPr>
      </w:pPr>
      <w:r>
        <w:rPr>
          <w:rFonts w:ascii="Times New Roman" w:hAnsi="Times New Roman"/>
          <w:sz w:val="20"/>
        </w:rPr>
        <w:t>In addition to AP and AIPT, we are preparing for clinical trials in additional inflammatory diseases such as acute kidney injury (</w:t>
      </w:r>
      <w:r>
        <w:rPr>
          <w:rFonts w:ascii="Times New Roman" w:hAnsi="Times New Roman"/>
          <w:b/>
          <w:sz w:val="20"/>
        </w:rPr>
        <w:t>AKI</w:t>
      </w:r>
      <w:r>
        <w:rPr>
          <w:rFonts w:ascii="Times New Roman" w:hAnsi="Times New Roman"/>
          <w:sz w:val="20"/>
        </w:rPr>
        <w:t>). We recently completed a study in a rat model of AKI, which demonstrated that Auxora compared to placebo increased glomerular filtration rate and decreased infiltrates of mononuclear cells in the kidneys of rats treated after receiving an ischemic injury. These data, along with observations in our Phase 2 trials in both AP and COVID-19 suggesting Auxora provides kidney protection in acutely ill patients, support that AKI may be a promising indication for Auxora. We plan to submit an investigational new drug (</w:t>
      </w:r>
      <w:r>
        <w:rPr>
          <w:rFonts w:ascii="Times New Roman" w:hAnsi="Times New Roman"/>
          <w:b/>
          <w:sz w:val="20"/>
        </w:rPr>
        <w:t>IND</w:t>
      </w:r>
      <w:r>
        <w:rPr>
          <w:rFonts w:ascii="Times New Roman" w:hAnsi="Times New Roman"/>
          <w:sz w:val="20"/>
        </w:rPr>
        <w:t xml:space="preserve">) application in the second half of 2023 and, if allowed, be in a position to initiate a Phase 2 clinical trial in this indication in the first half of 2024, subject to receipt of additional funding. </w:t>
      </w:r>
    </w:p>
    <w:p>
      <w:pPr>
        <w:pStyle w:val="TextBody"/>
        <w:bidi w:val="0"/>
        <w:spacing w:before="240" w:after="0"/>
        <w:jc w:val="left"/>
        <w:rPr>
          <w:rFonts w:ascii="Times New Roman" w:hAnsi="Times New Roman"/>
          <w:sz w:val="20"/>
        </w:rPr>
      </w:pPr>
      <w:r>
        <w:rPr>
          <w:rFonts w:ascii="Times New Roman" w:hAnsi="Times New Roman"/>
          <w:sz w:val="20"/>
        </w:rPr>
        <w:t xml:space="preserve">In our CARDEA trial, a Phase 2 randomized double-blind, placebo-controlled trial in patients with severe COVID-19 pneumonia and receiving supplemental oxygen, but not on mechanical ventilation, we observed that patients treated with Auxora experienced a reduced time to recovery and a 56% relative reduction in mortality at 30 days (p=0.0165) and a 33% relative reduction in mortality at 60 days (p=0.1449) compared to placebo. Time to recovery was seven days for Auxora-treated patients compared to ten days for patients receiving placebo (p=0.098). For additional information regarding p-values, please refer to the section entitled  </w:t>
      </w:r>
      <w:r>
        <w:rPr>
          <w:rFonts w:ascii="Times New Roman" w:hAnsi="Times New Roman"/>
          <w:i/>
          <w:sz w:val="20"/>
        </w:rPr>
        <w:t>Auxora, a Selective CRAC Channel InhibitorP-Values and Confidence Intervals.</w:t>
      </w:r>
      <w:r>
        <w:rPr>
          <w:rFonts w:ascii="Times New Roman" w:hAnsi="Times New Roman"/>
          <w:sz w:val="20"/>
        </w:rPr>
        <w:t xml:space="preserve"> The results from CARDEA were published in </w:t>
      </w:r>
      <w:r>
        <w:rPr>
          <w:rFonts w:ascii="Times New Roman" w:hAnsi="Times New Roman"/>
          <w:i/>
          <w:sz w:val="20"/>
        </w:rPr>
        <w:t>Critical Care</w:t>
      </w:r>
      <w:r>
        <w:rPr>
          <w:rFonts w:ascii="Times New Roman" w:hAnsi="Times New Roman"/>
          <w:sz w:val="20"/>
        </w:rPr>
        <w:t xml:space="preserve"> in 2022. The CARDEA data, along with data from an ongoing Phase 2 trial testing Auxora in COVID-19 patients with ARDS receiving invasive mechanical ventilation, may also help inform future trials in broader ARDS and acute hypoxemic respiratory failure (</w:t>
      </w:r>
      <w:r>
        <w:rPr>
          <w:rFonts w:ascii="Times New Roman" w:hAnsi="Times New Roman"/>
          <w:b/>
          <w:sz w:val="20"/>
        </w:rPr>
        <w:t>AHRF</w:t>
      </w:r>
      <w:r>
        <w:rPr>
          <w:rFonts w:ascii="Times New Roman" w:hAnsi="Times New Roman"/>
          <w:sz w:val="20"/>
        </w:rPr>
        <w:t xml:space="preserve">) patient populations. </w:t>
      </w:r>
    </w:p>
    <w:p>
      <w:pPr>
        <w:pStyle w:val="TextBody"/>
        <w:bidi w:val="0"/>
        <w:spacing w:before="240" w:after="0"/>
        <w:jc w:val="left"/>
        <w:rPr>
          <w:rFonts w:ascii="Times New Roman" w:hAnsi="Times New Roman"/>
          <w:sz w:val="20"/>
        </w:rPr>
      </w:pPr>
      <w:r>
        <w:rPr>
          <w:rFonts w:ascii="Times New Roman" w:hAnsi="Times New Roman"/>
          <w:sz w:val="20"/>
        </w:rPr>
        <w:t xml:space="preserve">Finally, we have compiled additional preclinical data supporting the potential to use CRAC channel inhibition for both chronic and acute inflammatory and immunologic diseases. We have available product candidates in IND-enabling preclinical testing that present different organ bioavailabilities and potential oral dosing. Our first chronic indication may be chronic pancreatitis as preclinical data in a mouse model of chronic pancreatitis suggest that CRAC channel inhibition can reduce pancreatic fibrosis and restore ductal cell function. We have published data suggesting CRAC channel inhibition may be useful in treating ulcerative colitis, allergic asthma, and traumatic brain injury. </w:t>
      </w:r>
    </w:p>
    <w:p>
      <w:pPr>
        <w:pStyle w:val="TextBody"/>
        <w:bidi w:val="0"/>
        <w:spacing w:before="240" w:after="0"/>
        <w:jc w:val="left"/>
        <w:rPr>
          <w:rFonts w:ascii="Times New Roman" w:hAnsi="Times New Roman"/>
          <w:sz w:val="20"/>
        </w:rPr>
      </w:pPr>
      <w:r>
        <w:rPr>
          <w:rFonts w:ascii="Times New Roman" w:hAnsi="Times New Roman"/>
          <w:sz w:val="20"/>
        </w:rPr>
        <w:t xml:space="preserve">Calcium is an important regulator of multiple biological functions, and in electrically non-excitable cells CRAC channel activation plays a critical role in the activation of calcium-dependent pathways that modulate various responses, including inflammation and vascular permeability. In immune cells, activation of CRAC channels is a key step in initiating the adaptive immune response and the generation of inflammatory cytokines. In addition, in certain acute critical illnesses, CRAC channels on affected organ tissue cells can become overactivated, resulting in excess calcium entry into cells. This excess calcium can cause cellular injury and necrosis, or activate apoptosis signaling pathways leading to programmed cell death further exacerbating the damage caused by inflammatory response. We have developed novel cell-based assays for compound screening that enabled us to identify and optimize a portfolio of potent and selective small molecule CRAC channel inhibitors, including zegocractin (previously referred to as CM4620) which is the active ingredient in Auxora, from several different chemical classes. These compounds each have different pharmaceutic and pharmacokinetic properties and comprise our portfolio of CRAC channel inhibitors.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Pipeline </w:t>
      </w:r>
    </w:p>
    <w:p>
      <w:pPr>
        <w:pStyle w:val="TextBody"/>
        <w:bidi w:val="0"/>
        <w:spacing w:before="120" w:after="0"/>
        <w:jc w:val="left"/>
        <w:rPr>
          <w:rFonts w:ascii="Times New Roman" w:hAnsi="Times New Roman"/>
          <w:sz w:val="20"/>
        </w:rPr>
      </w:pPr>
      <w:r>
        <w:rPr>
          <w:rFonts w:ascii="Times New Roman" w:hAnsi="Times New Roman"/>
          <w:sz w:val="20"/>
        </w:rPr>
        <w:t xml:space="preserve">We are currently developing our lead compound Auxora in several acute critical illnesses. We have a Phase 2b trial ongoing in AP and an investigator led Phase 1/2 trial ongoing in AIPT. We also completed the treatment portion of an Phase 2 biomarker trial in COVID-19 ARDS, which may inform the design of a Phase 2 clinical trial for the treatment of AHRF and/or ARDS with multiple etiologies. In addition, we are in preclinical development with Auxora in AKI and plan to submit an IND application in the second half of 2023, and, if allowed, be in the position to initiate a Phase 2 clinical trial in this indication in the first half of 2024, subject to receipt of additional funding. </w:t>
      </w:r>
    </w:p>
    <w:p>
      <w:pPr>
        <w:pStyle w:val="TextBody"/>
        <w:bidi w:val="0"/>
        <w:spacing w:before="240" w:after="0"/>
        <w:jc w:val="left"/>
        <w:rPr>
          <w:rFonts w:ascii="Times New Roman" w:hAnsi="Times New Roman"/>
          <w:sz w:val="20"/>
        </w:rPr>
      </w:pPr>
      <w:r>
        <w:rPr>
          <w:rFonts w:ascii="Times New Roman" w:hAnsi="Times New Roman"/>
          <w:sz w:val="20"/>
        </w:rPr>
        <w:t xml:space="preserve">Our product candidates are summarized in the table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143500" cy="2495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43500" cy="24955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Clinical Experience with Auxora </w:t>
      </w:r>
    </w:p>
    <w:p>
      <w:pPr>
        <w:pStyle w:val="TextBody"/>
        <w:bidi w:val="0"/>
        <w:spacing w:before="120" w:after="0"/>
        <w:jc w:val="left"/>
        <w:rPr>
          <w:rFonts w:ascii="Times New Roman" w:hAnsi="Times New Roman"/>
          <w:sz w:val="20"/>
        </w:rPr>
      </w:pPr>
      <w:r>
        <w:rPr>
          <w:rFonts w:ascii="Times New Roman" w:hAnsi="Times New Roman"/>
          <w:sz w:val="20"/>
        </w:rPr>
        <w:t xml:space="preserve">Our clinical experience with Auxora is summarized in the table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143500" cy="2847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43500" cy="28479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We have studied Auxora in a number of clinical trials including multiple Phase 2 clinical trials conducted in the United States, two of which have been in our lead indication, AP. We have published results from an open-label standard of care (</w:t>
      </w:r>
      <w:r>
        <w:rPr>
          <w:rFonts w:ascii="Times New Roman" w:hAnsi="Times New Roman"/>
          <w:b/>
          <w:sz w:val="20"/>
        </w:rPr>
        <w:t>SOC</w:t>
      </w:r>
      <w:r>
        <w:rPr>
          <w:rFonts w:ascii="Times New Roman" w:hAnsi="Times New Roman"/>
          <w:sz w:val="20"/>
        </w:rPr>
        <w:t xml:space="preserve">) controlled Phase 2a trial in AP, and we expect results from treating the first cohort of patients in CRSPA to be published in the fourth quarter of 2023. We have also published results from CARDEA and the 30-patient open-label part one portion of this same trial. With our investigator, we expect to publish data from an open-label randomized placebo-controlled Phase 2 biomarker trial conducted in the United States in critical COVID-19 pneumonia patients with ARDS in which we have completed enrollment and treatment of patients in 2022 and are now completing the biomarker analysis with samples taken from these patients. We observed in all of these trials that patients treated with Auxora experienced a reduced time to recovery and a reduction of organ damage. In CARDEA, we observed a numerical improvement of 56% relative risk reduction in mortality at 30 days. We believe the consistency of the results we observed from these trials in multiple acute critical care conditions affecting different primary organs are mutually supportive and reinforce our plans to further pursue the use of Auxora in several additional acute critical illnesses. </w:t>
      </w:r>
    </w:p>
    <w:p>
      <w:pPr>
        <w:pStyle w:val="TextBody"/>
        <w:bidi w:val="0"/>
        <w:spacing w:before="240" w:after="0"/>
        <w:jc w:val="left"/>
        <w:rPr>
          <w:rFonts w:ascii="Times New Roman" w:hAnsi="Times New Roman"/>
          <w:b/>
          <w:i/>
          <w:sz w:val="20"/>
        </w:rPr>
      </w:pPr>
      <w:r>
        <w:rPr>
          <w:rFonts w:ascii="Times New Roman" w:hAnsi="Times New Roman"/>
          <w:b/>
          <w:i/>
          <w:sz w:val="20"/>
        </w:rPr>
        <w:t xml:space="preserve">Auxora for the Treatment of AP </w:t>
      </w:r>
    </w:p>
    <w:p>
      <w:pPr>
        <w:pStyle w:val="TextBody"/>
        <w:bidi w:val="0"/>
        <w:spacing w:before="120" w:after="0"/>
        <w:jc w:val="left"/>
        <w:rPr>
          <w:rFonts w:ascii="Times New Roman" w:hAnsi="Times New Roman"/>
          <w:i/>
          <w:sz w:val="20"/>
        </w:rPr>
      </w:pPr>
      <w:r>
        <w:rPr>
          <w:rFonts w:ascii="Times New Roman" w:hAnsi="Times New Roman"/>
          <w:i/>
          <w:sz w:val="20"/>
        </w:rPr>
        <w:t xml:space="preserve">AP with SIRS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Completed open-label Phase 2a clinical trial</w:t>
            </w:r>
            <w:r>
              <w:rPr>
                <w:rFonts w:ascii="Times New Roman" w:hAnsi="Times New Roman"/>
                <w:sz w:val="20"/>
              </w:rPr>
              <w:t xml:space="preserve">. We completed a randomized, open-label Phase 2a clinical trial of Auxora in 21 patients with AP and accompanying SIRS who also had hypoxemia at presentation. Patients in this trial treated with Auxora in addition to SOC had multiple improved outcomes compared to patients treated with standard care alone. In addition, there were several patients with severe respiratory failure at enrollment and the majority of those treated with Auxora did not require mechanical ventilation. Results from this randomized, open-label Phase 2a clinical trial conducted in the United States were published in March 2021 in the peer- reviewed journal </w:t>
            </w:r>
            <w:r>
              <w:rPr>
                <w:rFonts w:ascii="Times New Roman" w:hAnsi="Times New Roman"/>
                <w:i/>
                <w:sz w:val="20"/>
              </w:rPr>
              <w:t>Pancreas</w:t>
            </w:r>
            <w:r>
              <w:rPr>
                <w:rFonts w:ascii="Times New Roman" w:hAnsi="Times New Roman"/>
                <w:sz w:val="20"/>
              </w:rPr>
              <w:t>. We have received Fast Track designation from the FDA and Orphan Drug designation in the European Union (</w:t>
            </w:r>
            <w:r>
              <w:rPr>
                <w:rFonts w:ascii="Times New Roman" w:hAnsi="Times New Roman"/>
                <w:b/>
                <w:sz w:val="20"/>
              </w:rPr>
              <w:t>EU</w:t>
            </w:r>
            <w:r>
              <w:rPr>
                <w:rFonts w:ascii="Times New Roman" w:hAnsi="Times New Roman"/>
                <w:sz w:val="20"/>
              </w:rPr>
              <w:t>) from the European Medicines Agency (</w:t>
            </w:r>
            <w:r>
              <w:rPr>
                <w:rFonts w:ascii="Times New Roman" w:hAnsi="Times New Roman"/>
                <w:b/>
                <w:sz w:val="20"/>
              </w:rPr>
              <w:t>EMA</w:t>
            </w:r>
            <w:r>
              <w:rPr>
                <w:rFonts w:ascii="Times New Roman" w:hAnsi="Times New Roman"/>
                <w:sz w:val="20"/>
              </w:rPr>
              <w:t xml:space="preserve">) for Auxora for the treatment of AP. However, there is no guarantee that Fast Track designation will result in a faster regulatory review or regulatory approval, if at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Ongoing Phase 2b clinical trial</w:t>
            </w:r>
            <w:r>
              <w:rPr>
                <w:rFonts w:ascii="Times New Roman" w:hAnsi="Times New Roman"/>
                <w:sz w:val="20"/>
              </w:rPr>
              <w:t xml:space="preserve">. We are currently conducting CARPO in the United States, a Phase 2b clinical trial in 216 patients with AP and accompanying SIRS. In the third quarter of this year, we expanded the trial internationally and plan to conduct a significant portion of the enrollment in India. We anticipate results from our CARPO trial in the first half of 2024. We do not currently have any marketing plans for our product candidates for AP in India.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Auxora for the Treatment of AIPT: Pancreatitis as a Side Effect of Treatment for Pediatric ALL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Ongoing Phase 1/2 clinical trial</w:t>
            </w:r>
            <w:r>
              <w:rPr>
                <w:rFonts w:ascii="Times New Roman" w:hAnsi="Times New Roman"/>
                <w:sz w:val="20"/>
              </w:rPr>
              <w:t xml:space="preserve">. CRSPA, an investigator led Phase 1/2 trial, is being conducted in the United States in children who develop AIPT related to the use of the chemotherapeutic asparaginase in the course of their treatment for ALL. We believe this work is providing valuable information on the use of Auxora in critically ill pediatric patients. The first cohort of nine patients in this trial has been completed and, based on preliminary, unpublished data, all patients who have received a full course of therapy have had a more rapid resolution of their symptoms as compared to the current standard of care. According to clinical data published by Mauney, et. al., in the Journal of Pediatric Gastroenterology and Nutrition in March 2022, patients who developed AIPT have a median length of stay in the hospital of 10 days, whereas the median length of stay for patients treated with Auxora was less than six days consistent with their resolution of symptoms. This is a single arm open-label trial and comparison to a blinded matched historical control group is underway a . We expect data from this trial to be published in the fourth quarter of 2023. This trial is being expanded to additional sites.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Auxora for the Treatment of Acute Kidney Injury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Based on data from preclinical models of AKI and observations of less kidney damage in Auxora-treated patients compared to placebo or SOC in our clinical trials in other settings of acute critical illness (such as COVID-19 pneumonia and acute pancreatitis), we believe that Auxora has the potential to prevent and to treat AKI. In CARDEA, we saw a 40% reduction in reported acute kidney injury, a common sequelae of severe COVID pneumonia, in Auxora-treated patients as compared to placebo-treated patients. We also saw positive trends in Angiopoietin-1 and Angiopoietin-2 levels in Auxora patients suggesting endothelial protection, an important component of a potential AKI treatment. Results in rats treated after receiving an ischemic renal injury demonstrated that Auxora compared to placebo increased glomerular filtration rate and decreased infiltrates of mononuclear cells in the kidneys. We plan to submit an IND application for Auxora in AKI in the second half of 2023, and, if allowed, be in a position to initiate a Phase 2 trial in this indication in the first half of 2024, subject to receipt of additional funding. See </w:t>
            </w:r>
            <w:r>
              <w:rPr>
                <w:rFonts w:ascii="Times New Roman" w:hAnsi="Times New Roman"/>
                <w:i/>
                <w:sz w:val="20"/>
              </w:rPr>
              <w:t>BusinessAuxora, a Selective CRAC Channel Inhibitor-Auxora for Treatment of Acute Kidney Injury</w:t>
            </w:r>
            <w:r>
              <w:rPr>
                <w:rFonts w:ascii="Times New Roman" w:hAnsi="Times New Roman"/>
                <w:sz w:val="20"/>
              </w:rPr>
              <w:t xml:space="preserve"> for a description of the regulatory basis that we believe will allow us to initiate a Phase 2 trial utilizing existing data.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Auxora for the Treatment of Acute Respiratory Failure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Completed open-label Phase 2 clinical trial in 30 hospitalized COVID-19 pneumonia patients on oxygen (Part 1)</w:t>
            </w:r>
            <w:r>
              <w:rPr>
                <w:rFonts w:ascii="Times New Roman" w:hAnsi="Times New Roman"/>
                <w:sz w:val="20"/>
              </w:rPr>
              <w:t xml:space="preserve">. Initial data in COVID- 19 patients were obtained in a randomized, open-label Phase 2 clinical trial of Auxora conducted in the United States in 26 patients with severe COVID-19 pneumonia and 4 patients with critical COVID-19 pneumonia. Patients treated with Auxora in addition to SOC recovered faster than those on SOC alone, with 67.8% (p&lt;0.05) lower incidence of invasive mechanical ventilation or death during the study period, which was statistically significant. Based on these initial results and recommendation of the FDA, we transitioned from this open-label Part 1 of the trial to a randomized, blinded, placebo-controlled Part 2 of the trial (CARDEA). The results from Part 1 of the trial were published in July 2020 in the peer-reviewed journal </w:t>
            </w:r>
            <w:r>
              <w:rPr>
                <w:rFonts w:ascii="Times New Roman" w:hAnsi="Times New Roman"/>
                <w:i/>
                <w:sz w:val="20"/>
              </w:rPr>
              <w:t>Critical Care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Completed double-blind Phase 2 clinical trial in hospitalized COVID-19 pneumonia patients on oxygen (Part 2). </w:t>
            </w:r>
            <w:r>
              <w:rPr>
                <w:rFonts w:ascii="Times New Roman" w:hAnsi="Times New Roman"/>
                <w:sz w:val="20"/>
              </w:rPr>
              <w:t xml:space="preserve">In our CARDEA trial, a Phase 2 randomized double-blind placebo-controlled trial conducted in the United States in 284 patients with severe COVID-19 pneumonia (261 having moderate and severe respiratory failureour efficacy set) and receiving supplemental oxygen but not on mechanical ventilation, treatment with Auxora resulted in a reduced time to recovery and a 56% relative reduction in mortality at 30 days (p=0.0165) and a 33% relative reduction in mortality at 60 days (p=0.1449) compared to placebo. Both of these findings are clinically relevant particularly in light of patients needing additional therapies on top of current standard of care. Time to recovery was seven days for Auxora-treated patients compared to ten days for patients receiving placebo (p=0.098). Data from this study was published in April 2022 in the peer-reviewed journal </w:t>
            </w:r>
            <w:r>
              <w:rPr>
                <w:rFonts w:ascii="Times New Roman" w:hAnsi="Times New Roman"/>
                <w:i/>
                <w:sz w:val="20"/>
              </w:rPr>
              <w:t>Critical Care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Completed the treatment portion of a Phase 2 biomarker clinical trial in mechanically ventilated COVID-19 pneumonia ARDS patients</w:t>
            </w:r>
            <w:r>
              <w:rPr>
                <w:rFonts w:ascii="Times New Roman" w:hAnsi="Times New Roman"/>
                <w:sz w:val="20"/>
              </w:rPr>
              <w:t xml:space="preserve">. In collaboration with investigators from Northwestern Memorial Hospital, we are conducting a Phase 2 dose escalation clinical trial of Auxora in the United States in patients with COVID-19 pneumonia who have ARDS and require invasive mechanical ventilation. We have explored dosing regimens with varying drug exposures in these patients in addition to the three-day regimen we tested in our open label Phase 2 clinical trial and CARDEA. We have completed the enrollment and treatment of patients in this trial and are completing the biomarker analysis from samples taken from these patients. We anticipate results from this trial will be published in the second half of 2023. While we have decided to not pursue further development of Auxora for patients with COVID-19 pneumonia, results from this trial may inform the design of a Phase 2 clinical trial for the treatment of AHRF and/or 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Preclinical work in AHRF and ARDS. We believe that the observed treatment effect of Auxora in AP and COVID-19 pneumonia trials, both causes of respiratory failure and ARDS, merits further clinical development in a broader patient population with AHRF or ARDS from etiologies beyond COVID-19 pneumonia. We have tested zegocractin (active ingredient in Auxora) in a lipopolysaccharide (</w:t>
            </w:r>
            <w:r>
              <w:rPr>
                <w:rFonts w:ascii="Times New Roman" w:hAnsi="Times New Roman"/>
                <w:b/>
                <w:sz w:val="20"/>
              </w:rPr>
              <w:t>LPS</w:t>
            </w:r>
            <w:r>
              <w:rPr>
                <w:rFonts w:ascii="Times New Roman" w:hAnsi="Times New Roman"/>
                <w:sz w:val="20"/>
              </w:rPr>
              <w:t xml:space="preserve">)-induced respiratory failure model in mice and confirmed that Auxora reduces both inflammatory cytokines in the lungs of these animals and peribronchiolar and perivascular edema.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Potential Additional Indications.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Oral candidate (CM6336) for the treatment of chronic pancreatitis. </w:t>
            </w:r>
            <w:r>
              <w:rPr>
                <w:rFonts w:ascii="Times New Roman" w:hAnsi="Times New Roman"/>
                <w:sz w:val="20"/>
              </w:rPr>
              <w:t xml:space="preserve">We are also developing oral CRAC channel inhibitors for use in chronic inflammatory indications. We currently have two distinct chemical compounds, CM6336 and CM6018, that we are testing and recently determined that CM6336 is likely to be the compound chosen for future development. Using a novel model compound from our portfolio, CM5480, we have shown that CRAC channel inhibition leads to reductions in fibrosis and improvements in pancreatic ductal cell function in a model of chronic pancreatitis in mice. We are currently conducting IND-enabling preclinical testing on CM6336 for use in chronic inflammatory diseases. CM6336 and CM6018 are proprietary and structurally distinct from CM5480 but with potentially improved pharmacokinetic properties. We could be in a position to initiate clinical trials in this indication in 2025, subject to receipt of additional funding.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Auxora for the treatment of acute ulcerative colitis</w:t>
            </w:r>
            <w:r>
              <w:rPr>
                <w:rFonts w:ascii="Times New Roman" w:hAnsi="Times New Roman"/>
                <w:sz w:val="20"/>
              </w:rPr>
              <w:t xml:space="preserve">. Recent animal data indicates that CRAC channel inhibition by zegocractin or CM4620 (active ingredient in Auxora) may be effective in the treatment of inflammatory bowel disease, such as ulcerative colitis. In a preclinical study performed with scientists from Charite  University Medicine, Berlin and New York University Grossman School of Medicine, it was shown that zegocractin, administered orally to mice every other day for a period of 30 days produced a significant reduction in intestinal inflammation in a model of ulcerative colitis. This work was published in EMBO Molecular Medicine in August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Auxora for the treatment of allergic asthma</w:t>
            </w:r>
            <w:r>
              <w:rPr>
                <w:rFonts w:ascii="Times New Roman" w:hAnsi="Times New Roman"/>
                <w:sz w:val="20"/>
              </w:rPr>
              <w:t xml:space="preserve">. The effectiveness of zegocractin was studied in mouse models of asthmatic airway inflammation and influenza A virus infection to determine if inhibition of CRAC channels reduces asthmatic inflammation without interfering with the antiviral response. Researchers from New York University Grossman School of Medicine showed that oral administration of zegocractin significantly lowered both peribronchiolar inflammation and lung mucus production in the asthma model and did not impact viral response in the influenza A model. This work was published in Science Advances in October 2022.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We are a company focused on the discovery and development of CRAC channel inhibitors. We intend to develop therapeutics to treat acute critical illnesses and chronic inflammatory and immunologic diseases including AP, AKI, ARDS or ARHF, and chronic pancreatitis. Our strategy to achieve this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Leverage our proprietary CRAC channel inhibition science to develop drugs to treat acute critical illness and chronic inflammatory diseases where there are no effective therapies. </w:t>
            </w:r>
            <w:r>
              <w:rPr>
                <w:rFonts w:ascii="Times New Roman" w:hAnsi="Times New Roman"/>
                <w:sz w:val="20"/>
              </w:rPr>
              <w:t xml:space="preserve">Given that CRAC channels are found on many cell types in addition to immune cells, we believe that there will be a number of inflammatory and immunologic indications that can be targeted with the novel mechanism of action afforded by CRAC channel inhibitors. These indications can range from acute critical illnesses, the focus of our current efforts to date, to chronic inflammatory and immunologic conditions. Our portfolio of proprietary compounds with different pharmaceutical properties enables us to explore these indications with agents selected and formulated specifically for each unique clinical setting.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Develop Auxora for the treatment of patients with AP and accompanying SIRS. </w:t>
            </w:r>
            <w:r>
              <w:rPr>
                <w:rFonts w:ascii="Times New Roman" w:hAnsi="Times New Roman"/>
                <w:sz w:val="20"/>
              </w:rPr>
              <w:t xml:space="preserve">AP represents an unmet need in critical care medicine as there are no disease-modifying therapies. We believe we have shown that Auxora-treated AP patients with SIRS and hypoxemia have better outcomes than SOC-treated control patients in a Phase 2a clinical trial. We are conducting a placebo-controlled, blinded Phase 2b clinical trial, CARPO, in a similar patient population exploring three dose levels of Auxora to confirm these findings, establish the recommended dose for a Phase 3 trial and define an endpoint acceptable to regulators. We anticipate results from this Phase 2b clinical trial in the first half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Develop Auxora for the treatment AIPT. </w:t>
            </w:r>
            <w:r>
              <w:rPr>
                <w:rFonts w:ascii="Times New Roman" w:hAnsi="Times New Roman"/>
                <w:sz w:val="20"/>
              </w:rPr>
              <w:t xml:space="preserve">CRSPA, an open-label Phase 1/2 clinical trial, is currently being conducted in pediatric patients with AIPT. The first cohort of nine patients in this trial has been completed and the results from this cohort as well as results from a blinded matched historical control group comparison are planned to be published in the fourth quarter of 2023. While initially a single-center trial, CRSPA is now being expanded to additional sites and we anticipate meeting with regulators to discuss next steps in this program before the end of the first quarter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Demonstrate the efficacy of Auxora for the treatment of AKI. </w:t>
            </w:r>
            <w:r>
              <w:rPr>
                <w:rFonts w:ascii="Times New Roman" w:hAnsi="Times New Roman"/>
                <w:sz w:val="20"/>
              </w:rPr>
              <w:t xml:space="preserve">AKI represents a significant unmet medical need as there are no disease- modifying therapies to either prevent or treat AKI. We are testing Auxora in a preclinical model of AKI and found that Auxora-treated animals have less kidney damage than animals treated with placebo. We have also observed less kidney damage in Auxora-treated patients compared to placebo or SOC in our clinical trials in other acute critical illnesses. We plan to submit an IND in the second half of and, if allowed, to be in a position to initiate a Phase 2 clinical trial for AKI in first half of 2024, subject to receipt of additional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Demonstrate the efficacy of Auxora for the treatment of patients with AHRF and ARDS caused by multiple etiologies. </w:t>
            </w:r>
            <w:r>
              <w:rPr>
                <w:rFonts w:ascii="Times New Roman" w:hAnsi="Times New Roman"/>
                <w:sz w:val="20"/>
              </w:rPr>
              <w:t xml:space="preserve">We have completed CARDEA, which followed a randomized open-label trial in the same patients, and with our collaborator we have completed the enrollment and treatment of patients of a Phase 2 clinical trial in mechanically ventilated COVID-19 pneumonia ARDS patients. We are evaluating next steps for potential clinical development of Auxora in patients with AHRF and 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Advance a second CRAC channel inhibitor into clinical development for the treatment of an additional inflammatory indication. </w:t>
            </w:r>
            <w:r>
              <w:rPr>
                <w:rFonts w:ascii="Times New Roman" w:hAnsi="Times New Roman"/>
                <w:sz w:val="20"/>
              </w:rPr>
              <w:t xml:space="preserve">We believe that there are multiple indications, including some chronic inflammatory and immunologic indications, that could potentially be treated with CRAC channel inhibitors from our portfolio of compounds, including orally available compounds. In a preclinical animal model of chronic pancreatitis, we observed robust beneficial effects of one of our CRAC channel inhibitors. We are currently conducting IND-enabling preclinical testing on CM6336 from our drug portfolio, which is a candidate for use in chronic inflammatory and immunologic diseases. We could be in a position to enter clinical trials in a chronic pancreatitis program in 2025, subject to receipt of additional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Explore additional indications for Auxora. </w:t>
            </w:r>
            <w:r>
              <w:rPr>
                <w:rFonts w:ascii="Times New Roman" w:hAnsi="Times New Roman"/>
                <w:sz w:val="20"/>
              </w:rPr>
              <w:t xml:space="preserve">Recent pre-clinical work in both acute ulcerative colitis and allergic asthma have shown that the zegocractin, the active molecule in Auxora, reduces inflammation and symptoms of these diseases in animal models.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Pursue licensing and partnership opportunities for Auxora and other compounds in our portfolio. </w:t>
            </w:r>
            <w:r>
              <w:rPr>
                <w:rFonts w:ascii="Times New Roman" w:hAnsi="Times New Roman"/>
                <w:sz w:val="20"/>
              </w:rPr>
              <w:t xml:space="preserve">Development of Auxora in different geographies, and commercialization of Auxora in acute critical care indications that will require access to hospital emergency rooms, may benefit from partners with existing development capability and/or commercial channels and sales forces. We are exploring these types of relationships. In addition, we may elect to partner other of our compounds for specific indications.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Team </w:t>
      </w:r>
    </w:p>
    <w:p>
      <w:pPr>
        <w:pStyle w:val="TextBody"/>
        <w:bidi w:val="0"/>
        <w:spacing w:before="120" w:after="0"/>
        <w:jc w:val="left"/>
        <w:rPr>
          <w:rFonts w:ascii="Times New Roman" w:hAnsi="Times New Roman"/>
          <w:sz w:val="20"/>
        </w:rPr>
      </w:pPr>
      <w:r>
        <w:rPr>
          <w:rFonts w:ascii="Times New Roman" w:hAnsi="Times New Roman"/>
          <w:sz w:val="20"/>
        </w:rPr>
        <w:t xml:space="preserve">Our executive team is led by A. Rachel Leheny, Ph.D., our chief executive officer, who has more than 30 years of experience in the life sciences industry as a scientist, venture capital investor and investment banking research analyst. Kenneth Stauderman, Ph.D., a co-founder and our chief scientific officer with more than 30 years of experience in drug discovery and development, is a leading expert in CRAC channels and led the discovery of some of the foundational work in this field. Sudarshan Hebbar, M.D., our chief medical officer, has more than 15 years of clinical development and product development experience and was previously a practicing nephrologist and critical care physician. Raven Jaeger, MS, our chief regulatory officer, who has over 20 years of regulatory affairs experience with several marketing approvals in serious diseases with high-unmet medical need. </w:t>
      </w:r>
    </w:p>
    <w:p>
      <w:pPr>
        <w:pStyle w:val="TextBody"/>
        <w:bidi w:val="0"/>
        <w:spacing w:before="360" w:after="0"/>
        <w:jc w:val="left"/>
        <w:rPr>
          <w:rFonts w:ascii="Times New Roman" w:hAnsi="Times New Roman"/>
          <w:b/>
          <w:sz w:val="20"/>
        </w:rPr>
      </w:pPr>
      <w:r>
        <w:rPr>
          <w:rFonts w:ascii="Times New Roman" w:hAnsi="Times New Roman"/>
          <w:b/>
          <w:sz w:val="20"/>
        </w:rPr>
        <w:t xml:space="preserve">Our Science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Essential Roles of Calcium Signaling </w:t>
      </w:r>
    </w:p>
    <w:p>
      <w:pPr>
        <w:pStyle w:val="TextBody"/>
        <w:bidi w:val="0"/>
        <w:spacing w:before="120" w:after="0"/>
        <w:jc w:val="left"/>
        <w:rPr>
          <w:rFonts w:ascii="Times New Roman" w:hAnsi="Times New Roman"/>
          <w:sz w:val="20"/>
        </w:rPr>
      </w:pPr>
      <w:r>
        <w:rPr>
          <w:rFonts w:ascii="Times New Roman" w:hAnsi="Times New Roman"/>
          <w:sz w:val="20"/>
        </w:rPr>
        <w:t>Calcium serves as an essential messenger for intracellular signals and plays diverse and important roles in biological systems. The major storehouse for calcium in a cell is a compartment called the endoplasmic reticulum (</w:t>
      </w:r>
      <w:r>
        <w:rPr>
          <w:rFonts w:ascii="Times New Roman" w:hAnsi="Times New Roman"/>
          <w:b/>
          <w:sz w:val="20"/>
        </w:rPr>
        <w:t>ER</w:t>
      </w:r>
      <w:r>
        <w:rPr>
          <w:rFonts w:ascii="Times New Roman" w:hAnsi="Times New Roman"/>
          <w:sz w:val="20"/>
        </w:rPr>
        <w:t xml:space="preserve">). Calcium is found there at average concentrations that are 1,000 to 5,000-fold higher than in a cells interior or cytoplasm. When an outside signal stimulates a cell in a particular way, the stored calcium is rapidly and periodically released from the ER into the cell interior, resulting in activation of a number of key cellular processes affecting synthesis and release of other signaling molecules, cell growth, differentiation and division. These processes include, for example, gene transcription and protein kinase signaling. In response to sufficient external stress on the cell, release of calcium from these intracellular stores can trigger cell death.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CRAC Channels </w:t>
      </w:r>
    </w:p>
    <w:p>
      <w:pPr>
        <w:pStyle w:val="TextBody"/>
        <w:bidi w:val="0"/>
        <w:spacing w:before="120" w:after="0"/>
        <w:jc w:val="left"/>
        <w:rPr>
          <w:rFonts w:ascii="Times New Roman" w:hAnsi="Times New Roman"/>
          <w:sz w:val="20"/>
        </w:rPr>
      </w:pPr>
      <w:r>
        <w:rPr>
          <w:rFonts w:ascii="Times New Roman" w:hAnsi="Times New Roman"/>
          <w:sz w:val="20"/>
        </w:rPr>
        <w:t>A specific set of calcium-transporting ion channels known as CRAC channels are responsible, among other things, for replenishing the calcium stores in the ER. The two principal proteins that comprise CRAC channels are the ER calcium-sensing protein Stomal Interaction Molecule 1 (</w:t>
      </w:r>
      <w:r>
        <w:rPr>
          <w:rFonts w:ascii="Times New Roman" w:hAnsi="Times New Roman"/>
          <w:b/>
          <w:sz w:val="20"/>
        </w:rPr>
        <w:t>STIM1</w:t>
      </w:r>
      <w:r>
        <w:rPr>
          <w:rFonts w:ascii="Times New Roman" w:hAnsi="Times New Roman"/>
          <w:sz w:val="20"/>
        </w:rPr>
        <w:t xml:space="preserve">) and the cellular membrane calcium channel protein Orai1. When cells are stimulated in particular physiological ways, intracellular messengers are generated that cause the periodic release of calcium from the ER. The release of calcium from the ER is then sensed by STIM1, which unfolds and activates, or opens, the Orai1 calcium channel triggering an influx of calcium into the cell. In certain pathological conditions, however, CRAC channels can be activated in non-physiological ways, such as by a toxin that can cause excessive release of calcium from the ER, leading to overactivation of CRAC channels. </w:t>
      </w:r>
    </w:p>
    <w:p>
      <w:pPr>
        <w:pStyle w:val="TextBody"/>
        <w:bidi w:val="0"/>
        <w:spacing w:before="240" w:after="0"/>
        <w:jc w:val="left"/>
        <w:rPr>
          <w:rFonts w:ascii="Times New Roman" w:hAnsi="Times New Roman"/>
          <w:sz w:val="20"/>
        </w:rPr>
      </w:pPr>
      <w:r>
        <w:rPr>
          <w:rFonts w:ascii="Times New Roman" w:hAnsi="Times New Roman"/>
          <w:sz w:val="20"/>
        </w:rPr>
        <w:t xml:space="preserve">Depending upon the extent of activation and the cell or tissue involved, calcium influx through CRAC channels can regulate calcium-dependent inflammatory pathways or can activate cell injury pathways. For example, in immune cells like T lymphocytes, activation of CRAC channels plays a key role in initiating the adaptive immune response and the generation of inflammatory cytokines. In certain acute critical illnesses such as AP, CRAC channels on affected organ tissue cells can become overactivated, resulting in excess calcium entry that is toxic to cells, causing cellular injury or death that can exacerbate an accompanying inflammatory response. </w:t>
      </w:r>
    </w:p>
    <w:p>
      <w:pPr>
        <w:pStyle w:val="TextBody"/>
        <w:bidi w:val="0"/>
        <w:spacing w:before="0" w:after="0"/>
        <w:jc w:val="left"/>
        <w:rPr/>
      </w:pPr>
      <w:r>
        <w:rPr/>
        <w:t> </w:t>
      </w:r>
    </w:p>
    <w:p>
      <w:pPr>
        <w:pStyle w:val="TextBody"/>
        <w:bidi w:val="0"/>
        <w:spacing w:before="0" w:after="0"/>
        <w:jc w:val="center"/>
        <w:rPr/>
      </w:pPr>
      <w:r>
        <w:rPr/>
        <w:drawing>
          <wp:inline distT="0" distB="0" distL="0" distR="0">
            <wp:extent cx="5143500" cy="2390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43500" cy="23907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CRAC channels serve to replenish calcium levels in the ER and to provide calcium for cellular signaling events. </w:t>
      </w:r>
    </w:p>
    <w:p>
      <w:pPr>
        <w:pStyle w:val="TextBody"/>
        <w:bidi w:val="0"/>
        <w:spacing w:before="120" w:after="0"/>
        <w:jc w:val="left"/>
        <w:rPr>
          <w:rFonts w:ascii="Times New Roman" w:hAnsi="Times New Roman"/>
          <w:sz w:val="20"/>
        </w:rPr>
      </w:pPr>
      <w:r>
        <w:rPr>
          <w:rFonts w:ascii="Times New Roman" w:hAnsi="Times New Roman"/>
          <w:sz w:val="20"/>
        </w:rPr>
        <w:t xml:space="preserve">There is strong evidence linking STIM1 and Orai1 to the way the cell replenishes its calcium stores and to the physiological consequences of disrupting these proteins from both </w:t>
      </w:r>
      <w:r>
        <w:rPr>
          <w:rFonts w:ascii="Times New Roman" w:hAnsi="Times New Roman"/>
          <w:i/>
          <w:sz w:val="20"/>
        </w:rPr>
        <w:t xml:space="preserve">in vitro </w:t>
      </w:r>
      <w:r>
        <w:rPr>
          <w:rFonts w:ascii="Times New Roman" w:hAnsi="Times New Roman"/>
          <w:sz w:val="20"/>
        </w:rPr>
        <w:t xml:space="preserve">and </w:t>
      </w:r>
      <w:r>
        <w:rPr>
          <w:rFonts w:ascii="Times New Roman" w:hAnsi="Times New Roman"/>
          <w:i/>
          <w:sz w:val="20"/>
        </w:rPr>
        <w:t xml:space="preserve">in vivo </w:t>
      </w:r>
      <w:r>
        <w:rPr>
          <w:rFonts w:ascii="Times New Roman" w:hAnsi="Times New Roman"/>
          <w:sz w:val="20"/>
        </w:rPr>
        <w:t xml:space="preserve">models, including animal gene knock-out or knock-in models, and human genetics. This linkage is true at both the cellular and phenotypic levels. At the cellular level, manipulating STIM1 or Orai1 activity by genetic inactivation or enhancement has been shown to impact calcium transport. Inactivating STIM1 or Orai1 was shown to decrease calcium entry into cells, whereas creating mutations in STIM1 or Orai1 that enhance their activity was shown to increase calcium influx. At the phenotypic level, people with homozygous genetic deficiencies in the genes encoding Orai1 or STIM1 develop the life-threatening condition of severe combined immunodeficiency. Because these individuals lack the ability to mount an effective immune response, they suffer from an extreme risk of contracting life-threatening infections. People with a heterozygous genotype for the mutated genes encoding Orai1 or STIM1 do not have any notable conditions resulting from or associated with these genetic deficiencies despite a partial reduction in the functional activity of the Orai1 or STIM1 proteins. </w:t>
      </w:r>
    </w:p>
    <w:p>
      <w:pPr>
        <w:pStyle w:val="TextBody"/>
        <w:bidi w:val="0"/>
        <w:spacing w:before="240" w:after="0"/>
        <w:jc w:val="left"/>
        <w:rPr>
          <w:rFonts w:ascii="Times New Roman" w:hAnsi="Times New Roman"/>
          <w:sz w:val="20"/>
        </w:rPr>
      </w:pPr>
      <w:r>
        <w:rPr>
          <w:rFonts w:ascii="Times New Roman" w:hAnsi="Times New Roman"/>
          <w:sz w:val="20"/>
        </w:rPr>
        <w:t>In lymphocytes, CRAC channels are critically responsible for controlling the entry of calcium that subsequently initiates calcium-dependent events. Within minutes of activating CRAC channels, alterations in intracellular calcium levels result in both (a) the inhibition of lymphocyte migration and (b) the activation of immune cell activity. Both of these elements of CRAC channel biology are central to identifying potential therapies. Effects of prolonged calcium signaling supported by both calcium release from the ER and CRAC channel-mediated calcium entry include stimulation of cell proliferation; expression of immune-activated genes; production of cytokines and chemokines; and lymphocyte differentiation. These longer-duration effects, too, are central to the backdrop for therapeutic intervention. For example, genes triggered by calcium release and subsequent calcium entry through CRAC channels include many activators of inflammation. This mechanism involves various signaling proteins, including two in particular, calcineurin and a transcription factor called nuclear factor of activated T cells (</w:t>
      </w:r>
      <w:r>
        <w:rPr>
          <w:rFonts w:ascii="Times New Roman" w:hAnsi="Times New Roman"/>
          <w:b/>
          <w:sz w:val="20"/>
        </w:rPr>
        <w:t>NFAT</w:t>
      </w:r>
      <w:r>
        <w:rPr>
          <w:rFonts w:ascii="Times New Roman" w:hAnsi="Times New Roman"/>
          <w:sz w:val="20"/>
        </w:rPr>
        <w:t>), which form a critical link between calcium elevations and transcriptional activation. Calcineurin is a calcium- activated enzyme that removes inhibitory components from NFAT, triggering it to enter the nucleus and function as a transcription factor. Calcineurin has a well-validated immunoregulatory role; it is the target of two broadly prescribed immunosuppressive molecules, cyclosporine and tacrolimus. NFAT is expressed in a wide spectrum of immune cells and its activity drives inflammation via the production of many pro-inflammatory cytokines such as interleukin-6 (</w:t>
      </w:r>
      <w:r>
        <w:rPr>
          <w:rFonts w:ascii="Times New Roman" w:hAnsi="Times New Roman"/>
          <w:b/>
          <w:sz w:val="20"/>
        </w:rPr>
        <w:t>IL-6</w:t>
      </w:r>
      <w:r>
        <w:rPr>
          <w:rFonts w:ascii="Times New Roman" w:hAnsi="Times New Roman"/>
          <w:sz w:val="20"/>
        </w:rPr>
        <w:t>); tumor necrosis factor alpha (</w:t>
      </w:r>
      <w:r>
        <w:rPr>
          <w:rFonts w:ascii="Times New Roman" w:hAnsi="Times New Roman"/>
          <w:b/>
          <w:sz w:val="20"/>
        </w:rPr>
        <w:t>TNF</w:t>
      </w:r>
      <w:r>
        <w:rPr>
          <w:rFonts w:ascii="SYMBOL" w:hAnsi="SYMBOL"/>
          <w:sz w:val="20"/>
        </w:rPr>
        <w:t>µ</w:t>
      </w:r>
      <w:r>
        <w:rPr>
          <w:rFonts w:ascii="Times New Roman" w:hAnsi="Times New Roman"/>
          <w:sz w:val="20"/>
        </w:rPr>
        <w:t>); and interleukin-2 (</w:t>
      </w:r>
      <w:r>
        <w:rPr>
          <w:rFonts w:ascii="Times New Roman" w:hAnsi="Times New Roman"/>
          <w:b/>
          <w:sz w:val="20"/>
        </w:rPr>
        <w:t>IL-2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143500" cy="3448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143500" cy="34480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Increased levels of intracellular calcium mediated by CRAC channels activate a number of inflammatory pathways. </w:t>
      </w:r>
    </w:p>
    <w:p>
      <w:pPr>
        <w:pStyle w:val="TextBody"/>
        <w:bidi w:val="0"/>
        <w:spacing w:before="240" w:after="0"/>
        <w:jc w:val="left"/>
        <w:rPr>
          <w:rFonts w:ascii="Times New Roman" w:hAnsi="Times New Roman"/>
          <w:sz w:val="20"/>
        </w:rPr>
      </w:pPr>
      <w:r>
        <w:rPr>
          <w:rFonts w:ascii="Times New Roman" w:hAnsi="Times New Roman"/>
          <w:sz w:val="20"/>
        </w:rPr>
        <w:t xml:space="preserve">Inflammatory diseases including AP, respiratory failure, kidney injury or traumatic brain injury are associated with activation or overactivation of CRAC channels. Preclinical experiments have shown that inhibition of CRAC channels has the potential to provide therapeutic benefit in these and other diseases. Multiple compounds have been identified in scientific literature that inhibit CRAC channels, but few of these have advanced to clinical trials as a result of unsuitable pharmaceutical properties required for potential therapeutic use. </w:t>
      </w:r>
    </w:p>
    <w:p>
      <w:pPr>
        <w:pStyle w:val="TextBody"/>
        <w:bidi w:val="0"/>
        <w:spacing w:before="360" w:after="0"/>
        <w:jc w:val="left"/>
        <w:rPr>
          <w:rFonts w:ascii="Times New Roman" w:hAnsi="Times New Roman"/>
          <w:b/>
          <w:sz w:val="20"/>
        </w:rPr>
      </w:pPr>
      <w:r>
        <w:rPr>
          <w:rFonts w:ascii="Times New Roman" w:hAnsi="Times New Roman"/>
          <w:b/>
          <w:sz w:val="20"/>
        </w:rPr>
        <w:t xml:space="preserve">Advantages to Our Approach </w:t>
      </w:r>
    </w:p>
    <w:p>
      <w:pPr>
        <w:pStyle w:val="TextBody"/>
        <w:bidi w:val="0"/>
        <w:spacing w:before="120" w:after="0"/>
        <w:jc w:val="left"/>
        <w:rPr>
          <w:rFonts w:ascii="Times New Roman" w:hAnsi="Times New Roman"/>
          <w:sz w:val="20"/>
        </w:rPr>
      </w:pPr>
      <w:r>
        <w:rPr>
          <w:rFonts w:ascii="Times New Roman" w:hAnsi="Times New Roman"/>
          <w:sz w:val="20"/>
        </w:rPr>
        <w:t xml:space="preserve">We believe CRAC channels are promising drug targets as they are present on critical organ tissues (such as endothelium cells) and on immune system cells (such as T cells). Overactivation of these channels can lead to organ damage and cytokine-mediated pro-inflammatory processes. CRAC channel activation plays a critical role in endothelial damage and serves as the proximal step in T cell production of pro-inflammatory cytokines. We believe the key advantages of CRAC channel inhibition science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CRAC channel inhibitors provide a dual mechanism to reduce cellular damage by both blocking direct tissue damage and down- regulating inflammation.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CRAC channel inhibitors act upstream of several approved drugs (such as cyclosporin) affecting multiple pro-inflammatory pathways. This translates into down-regulation of multiple cytokines produced by the immune system in a disease state and may provide broader acting anti-inflammatory action compared to drugs that target a single cytokine.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CRAC channel inhibitors are small molecule drugs that provide rapid onset of immunomodulatory action as well as rapid offset which can provide rapid recovery of immunocompetence.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there may be underlying biological pathways common to a number of acute critical illnesses, including those indications we are pursuing, so that there is a potential for a single agent to treat those patients sharing this underlying biology regardless of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proprietary IV lipid nanoemulsion used in Auxora enhances the delivery of our drug to lipophilic organ tissues such as the lung and pancreas.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of our proprietary CRAC channel inhibitors, including CM6336, are orally bioavailable and can be used to treat chronic inflammatory and immunologic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approach is applicable to both acute and chronic inflammatory and immunologic diseases.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Auxora, a Selective CRAC Channel Inhibitor </w:t>
      </w:r>
    </w:p>
    <w:p>
      <w:pPr>
        <w:pStyle w:val="TextBody"/>
        <w:bidi w:val="0"/>
        <w:spacing w:before="120" w:after="0"/>
        <w:jc w:val="left"/>
        <w:rPr>
          <w:rFonts w:ascii="Times New Roman" w:hAnsi="Times New Roman"/>
          <w:sz w:val="20"/>
        </w:rPr>
      </w:pPr>
      <w:r>
        <w:rPr>
          <w:rFonts w:ascii="Times New Roman" w:hAnsi="Times New Roman"/>
          <w:sz w:val="20"/>
        </w:rPr>
        <w:t xml:space="preserve">We are developing Auxora, a proprietary IV-formulated CRAC channel inhibitor, for several indications, including the treatment of severe AP, AIPT, AKI, severe acute respiratory diseases including AHRF, and ARDS, and other acute inflammatory diseases associated with dysregulation of intracellular calcium in organ tissues. We hold worldwide rights to the active ingredient in Auxora, zegocractin, which was previously referred to as CM4620. Auxora inhibits the transport of calcium into cells by inhibiting the Orai1 CRAC channel. Testing of Auxora in an </w:t>
      </w:r>
      <w:r>
        <w:rPr>
          <w:rFonts w:ascii="Times New Roman" w:hAnsi="Times New Roman"/>
          <w:i/>
          <w:sz w:val="20"/>
        </w:rPr>
        <w:t xml:space="preserve">in vitro </w:t>
      </w:r>
      <w:r>
        <w:rPr>
          <w:rFonts w:ascii="Times New Roman" w:hAnsi="Times New Roman"/>
          <w:sz w:val="20"/>
        </w:rPr>
        <w:t xml:space="preserve">selectivity panel screen showed that the compound was highly selective over many other ion channels, receptors or transporters, which is consistent with the lack of sequence or structural similarity of CRAC channels with other channels. </w:t>
      </w:r>
    </w:p>
    <w:p>
      <w:pPr>
        <w:pStyle w:val="TextBody"/>
        <w:bidi w:val="0"/>
        <w:spacing w:before="120" w:after="0"/>
        <w:jc w:val="left"/>
        <w:rPr>
          <w:rFonts w:ascii="Times New Roman" w:hAnsi="Times New Roman"/>
          <w:sz w:val="20"/>
        </w:rPr>
      </w:pPr>
      <w:r>
        <w:rPr>
          <w:rFonts w:ascii="Times New Roman" w:hAnsi="Times New Roman"/>
          <w:sz w:val="20"/>
        </w:rPr>
        <w:t xml:space="preserve">Auxora is specifically formulated as an IV lipid nanoemulsion that is designed to facilitate the rapid delivery to lipophilic organ tissues such as the pancreas, lung and kidney, which we believe makes it a promising product candidate for the treatment of acute critical illnesses. The nanoemulsion is composed of nanometer-sized lipid droplets suspended in water. Auxora dissolves into the lipid particles that, once infused, move quickly through the body and are absorbed by lipophilic tissues that are hard-to-reach for aqueous solutions and hydrophilic drugs. We believe it is critically important to block CRAC channel activity as soon as possible in these acute indications to prevent further tissue damage and decrease morbidity or mortality. Auxora was well-tolerated in single dose and multiple dose Phase 1 clinical trials in healthy adults, and in both the Phase 2 COVID-19 clinical trials and the Phase 2a AP clinical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Evidence for Anti-Inflammatory Activity of Zegocractin, the Active Ingredient in Auxora </w:t>
      </w:r>
    </w:p>
    <w:p>
      <w:pPr>
        <w:pStyle w:val="TextBody"/>
        <w:bidi w:val="0"/>
        <w:spacing w:before="120" w:after="0"/>
        <w:jc w:val="left"/>
        <w:rPr>
          <w:rFonts w:ascii="Times New Roman" w:hAnsi="Times New Roman"/>
          <w:sz w:val="20"/>
        </w:rPr>
      </w:pPr>
      <w:r>
        <w:rPr>
          <w:rFonts w:ascii="Times New Roman" w:hAnsi="Times New Roman"/>
          <w:i/>
          <w:sz w:val="20"/>
        </w:rPr>
        <w:t xml:space="preserve">In vitro </w:t>
      </w:r>
      <w:r>
        <w:rPr>
          <w:rFonts w:ascii="Times New Roman" w:hAnsi="Times New Roman"/>
          <w:sz w:val="20"/>
        </w:rPr>
        <w:t>treatment of activated human peripheral blood mononuclear cells (</w:t>
      </w:r>
      <w:r>
        <w:rPr>
          <w:rFonts w:ascii="Times New Roman" w:hAnsi="Times New Roman"/>
          <w:b/>
          <w:sz w:val="20"/>
        </w:rPr>
        <w:t>PBMCs</w:t>
      </w:r>
      <w:r>
        <w:rPr>
          <w:rFonts w:ascii="Times New Roman" w:hAnsi="Times New Roman"/>
          <w:sz w:val="20"/>
        </w:rPr>
        <w:t>), which are predominantly lymphocytes, with zegocractin (the active compound in Auxora) resulted in a concentration-dependent inhibition of the release of a number of pro-inflammatory cytokines including IL-2 and interleukin-17 (</w:t>
      </w:r>
      <w:r>
        <w:rPr>
          <w:rFonts w:ascii="Times New Roman" w:hAnsi="Times New Roman"/>
          <w:b/>
          <w:sz w:val="20"/>
        </w:rPr>
        <w:t>IL-17</w:t>
      </w:r>
      <w:r>
        <w:rPr>
          <w:rFonts w:ascii="Times New Roman" w:hAnsi="Times New Roman"/>
          <w:sz w:val="20"/>
        </w:rPr>
        <w:t xml:space="preserve">) when measured at 48 hours. The breadth of the spectrum of cytokines inhibited by zegocractin is consistent with the central role of calcium signaling in the inflammatory response.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800475" cy="2238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800475" cy="22383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Zegocractin inhibited the release of a number of cytokines from activated human PBMCs. </w:t>
      </w:r>
    </w:p>
    <w:p>
      <w:pPr>
        <w:pStyle w:val="TextBody"/>
        <w:bidi w:val="0"/>
        <w:spacing w:before="240" w:after="0"/>
        <w:jc w:val="left"/>
        <w:rPr>
          <w:rFonts w:ascii="Times New Roman" w:hAnsi="Times New Roman"/>
          <w:sz w:val="20"/>
        </w:rPr>
      </w:pPr>
      <w:r>
        <w:rPr>
          <w:rFonts w:ascii="Times New Roman" w:hAnsi="Times New Roman"/>
          <w:sz w:val="20"/>
        </w:rPr>
        <w:t xml:space="preserve">The role of calcium and CRAC channels in inflammation extends beyond lymphocytes and other immune cells. Excess calcium in cells in tissues such as kidney, pancreas, lung and the nervous system leads to cell damage or activation of cell death pathways causing tissue damage and organ failure. These processes, in turn, trigger inflammatory immune responses that further exacerbate cell damage and cell death and can accelerate tissue damage and organ failure. </w:t>
      </w:r>
    </w:p>
    <w:p>
      <w:pPr>
        <w:pStyle w:val="TextBody"/>
        <w:bidi w:val="0"/>
        <w:spacing w:before="0" w:after="0"/>
        <w:jc w:val="left"/>
        <w:rPr/>
      </w:pPr>
      <w:r>
        <w:rPr/>
        <w:t> </w:t>
      </w:r>
    </w:p>
    <w:p>
      <w:pPr>
        <w:pStyle w:val="TextBody"/>
        <w:bidi w:val="0"/>
        <w:spacing w:before="0" w:after="0"/>
        <w:jc w:val="center"/>
        <w:rPr/>
      </w:pPr>
      <w:r>
        <w:rPr/>
        <w:drawing>
          <wp:inline distT="0" distB="0" distL="0" distR="0">
            <wp:extent cx="6096000" cy="2876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096000" cy="28765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CRAC channel overactivation causes cell damage, leading to cell death and triggering an inflammatory immune response.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Pharmacodynamic Profile of Auxora </w:t>
      </w:r>
    </w:p>
    <w:p>
      <w:pPr>
        <w:pStyle w:val="TextBody"/>
        <w:bidi w:val="0"/>
        <w:spacing w:before="120" w:after="0"/>
        <w:jc w:val="left"/>
        <w:rPr>
          <w:rFonts w:ascii="Times New Roman" w:hAnsi="Times New Roman"/>
          <w:sz w:val="20"/>
        </w:rPr>
      </w:pPr>
      <w:r>
        <w:rPr>
          <w:rFonts w:ascii="Times New Roman" w:hAnsi="Times New Roman"/>
          <w:sz w:val="20"/>
        </w:rPr>
        <w:t>Auxora is a proprietary lipid nanoemulsion IV formulation of the small molecule zegocractin that is administered by IV infusion. To test the activity of Auxora, we have developed an assay using ex vivo blood samples in which we stimulate IL-2 release as a surrogate pharmacodynamic (</w:t>
      </w:r>
      <w:r>
        <w:rPr>
          <w:rFonts w:ascii="Times New Roman" w:hAnsi="Times New Roman"/>
          <w:b/>
          <w:sz w:val="20"/>
        </w:rPr>
        <w:t>PD</w:t>
      </w:r>
      <w:r>
        <w:rPr>
          <w:rFonts w:ascii="Times New Roman" w:hAnsi="Times New Roman"/>
          <w:sz w:val="20"/>
        </w:rPr>
        <w:t xml:space="preserve">) marker for immune system activity. After administration, Auxora rapidly redistributes from the blood into lipophilic tissues and is predominantly cleared through the biliary system. Thereafter, the remaining drug is gradually cleared from lipophilic tissues over the course of a few months resulting in trace plasma levels without biological or clinical activity reported to date. Additional toxicity studies will be performed during Phase 3 development and may further address the safety of Auxora as it is cleared from the body. Auxora has demonstrated a rapid onset of immunomodulatory action within 30 minutes post-dosing in this assay performed on blood samples from patients with AP and treated with Auxora. Recovery of IL-2 release was observed within 24-48 hours following dosing completion, indicating offset of immunomodulation.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4838700" cy="2828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838700" cy="2828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Auxora has a rapid on-off effect as demonstrated by the onset of immunomodulation after dosing and the recovery of the immune system after the drug infusion is stopped.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timely termination of drug action is an important feature of Auxora as it may limit the potential for long-term immunosuppressive effects of prolonged CRAC channel inhibition, which have not been seen in clinical trials to date. In a rat model, administration of Auxora led to high levels of drug exposure in kidneys, pancreas, lung and plasma at two hours and four hours after the start of a four-hour infusion. By eight hours, drug levels dropped, consistent with rapid drug redistribution and/or clearance. </w:t>
      </w:r>
    </w:p>
    <w:p>
      <w:pPr>
        <w:pStyle w:val="TextBody"/>
        <w:bidi w:val="0"/>
        <w:spacing w:before="0" w:after="0"/>
        <w:jc w:val="left"/>
        <w:rPr/>
      </w:pPr>
      <w:r>
        <w:rPr/>
        <w:t> </w:t>
      </w:r>
    </w:p>
    <w:p>
      <w:pPr>
        <w:pStyle w:val="TextBody"/>
        <w:bidi w:val="0"/>
        <w:spacing w:before="0" w:after="0"/>
        <w:jc w:val="center"/>
        <w:rPr/>
      </w:pPr>
      <w:r>
        <w:rPr/>
        <w:drawing>
          <wp:inline distT="0" distB="0" distL="0" distR="0">
            <wp:extent cx="3467100" cy="3038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467100" cy="30384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i/>
          <w:sz w:val="20"/>
        </w:rPr>
        <w:t>Auxora led to rapid increase in drug levels in the pancreas, lung, kidney and plasma after administration to rats.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Potency and Selectivity of Auxora </w:t>
      </w:r>
    </w:p>
    <w:p>
      <w:pPr>
        <w:pStyle w:val="TextBody"/>
        <w:bidi w:val="0"/>
        <w:spacing w:before="120" w:after="0"/>
        <w:jc w:val="left"/>
        <w:rPr>
          <w:rFonts w:ascii="Times New Roman" w:hAnsi="Times New Roman"/>
          <w:sz w:val="20"/>
        </w:rPr>
      </w:pPr>
      <w:r>
        <w:rPr>
          <w:rFonts w:ascii="Times New Roman" w:hAnsi="Times New Roman"/>
          <w:sz w:val="20"/>
        </w:rPr>
        <w:t xml:space="preserve">Zegocractin (the active molecule in Auxora) is among the most potent CRAC channel inhibitors reported in scientific literature, as observed in published experiments performed in our labs, including experiments published in the journal </w:t>
      </w:r>
      <w:r>
        <w:rPr>
          <w:rFonts w:ascii="Times New Roman" w:hAnsi="Times New Roman"/>
          <w:i/>
          <w:sz w:val="20"/>
        </w:rPr>
        <w:t>Cell Calcium</w:t>
      </w:r>
      <w:r>
        <w:rPr>
          <w:rFonts w:ascii="Times New Roman" w:hAnsi="Times New Roman"/>
          <w:sz w:val="20"/>
        </w:rPr>
        <w:t>. The data in the figure below illustrate that Auxora potently inhibits Orai1-containing CRAC channels, as 50% of the activity of the channel can be inhibited with nanomolar (</w:t>
      </w:r>
      <w:r>
        <w:rPr>
          <w:rFonts w:ascii="Times New Roman" w:hAnsi="Times New Roman"/>
          <w:b/>
          <w:sz w:val="20"/>
        </w:rPr>
        <w:t>nM</w:t>
      </w:r>
      <w:r>
        <w:rPr>
          <w:rFonts w:ascii="Times New Roman" w:hAnsi="Times New Roman"/>
          <w:sz w:val="20"/>
        </w:rPr>
        <w:t>) concentrations of compound. Further, the compound is selective compared to other channels. For example, on two channels important in cardiac (heart) function, even micromolar (</w:t>
      </w:r>
      <w:r>
        <w:rPr>
          <w:rFonts w:ascii="Times New Roman" w:hAnsi="Times New Roman"/>
          <w:b/>
          <w:sz w:val="20"/>
        </w:rPr>
        <w:t>µM</w:t>
      </w:r>
      <w:r>
        <w:rPr>
          <w:rFonts w:ascii="Times New Roman" w:hAnsi="Times New Roman"/>
          <w:sz w:val="20"/>
        </w:rPr>
        <w:t xml:space="preserve">) quantities of zegocractin do not achieve measurable inhibition of the activity of those channels. All compounds in our portfolio of potential drug candidates have properties similar to those indicated in the table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11"/>
        <w:gridCol w:w="121"/>
        <w:gridCol w:w="3235"/>
        <w:gridCol w:w="121"/>
        <w:gridCol w:w="3117"/>
      </w:tblGrid>
      <w:tr>
        <w:trPr/>
        <w:tc>
          <w:tcPr>
            <w:tcW w:w="361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r>
      <w:tr>
        <w:trPr/>
        <w:tc>
          <w:tcPr>
            <w:tcW w:w="361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Channel</w:t>
            </w:r>
          </w:p>
        </w:tc>
        <w:tc>
          <w:tcPr>
            <w:tcW w:w="121" w:type="dxa"/>
            <w:tcBorders/>
            <w:vAlign w:val="bottom"/>
          </w:tcPr>
          <w:p>
            <w:pPr>
              <w:pStyle w:val="TableContents"/>
              <w:bidi w:val="0"/>
              <w:spacing w:before="0" w:after="283"/>
              <w:jc w:val="left"/>
              <w:rPr/>
            </w:pPr>
            <w:r>
              <w:rPr/>
              <w:t>  </w:t>
            </w:r>
          </w:p>
        </w:tc>
        <w:tc>
          <w:tcPr>
            <w:tcW w:w="32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of Zegocractin</w:t>
            </w:r>
          </w:p>
        </w:tc>
        <w:tc>
          <w:tcPr>
            <w:tcW w:w="121" w:type="dxa"/>
            <w:tcBorders/>
            <w:vAlign w:val="bottom"/>
          </w:tcPr>
          <w:p>
            <w:pPr>
              <w:pStyle w:val="TableContents"/>
              <w:bidi w:val="0"/>
              <w:spacing w:before="0" w:after="283"/>
              <w:jc w:val="left"/>
              <w:rPr/>
            </w:pPr>
            <w:r>
              <w:rPr/>
              <w:t>  </w:t>
            </w:r>
          </w:p>
        </w:tc>
        <w:tc>
          <w:tcPr>
            <w:tcW w:w="311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Orai1 CRAC Channel Selectivity Ratio</w:t>
            </w:r>
          </w:p>
        </w:tc>
      </w:tr>
      <w:tr>
        <w:trPr/>
        <w:tc>
          <w:tcPr>
            <w:tcW w:w="3611" w:type="dxa"/>
            <w:tcBorders/>
          </w:tcPr>
          <w:p>
            <w:pPr>
              <w:pStyle w:val="TableContents"/>
              <w:bidi w:val="0"/>
              <w:spacing w:before="0" w:after="283"/>
              <w:jc w:val="left"/>
              <w:rPr/>
            </w:pPr>
            <w:r>
              <w:rPr/>
              <w:t xml:space="preserve">Human Orai1-containing CRAC channels </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0"/>
              <w:jc w:val="center"/>
              <w:rPr>
                <w:rFonts w:ascii="Times New Roman" w:hAnsi="Times New Roman"/>
                <w:sz w:val="20"/>
              </w:rPr>
            </w:pPr>
            <w:r>
              <w:rPr>
                <w:rFonts w:ascii="Times New Roman" w:hAnsi="Times New Roman"/>
                <w:sz w:val="20"/>
              </w:rPr>
              <w:t>IC50 = 119 nM</w:t>
            </w:r>
          </w:p>
        </w:tc>
        <w:tc>
          <w:tcPr>
            <w:tcW w:w="121" w:type="dxa"/>
            <w:tcBorders/>
            <w:vAlign w:val="bottom"/>
          </w:tcPr>
          <w:p>
            <w:pPr>
              <w:pStyle w:val="TableContents"/>
              <w:bidi w:val="0"/>
              <w:spacing w:before="0" w:after="283"/>
              <w:jc w:val="left"/>
              <w:rPr/>
            </w:pPr>
            <w:r>
              <w:rPr/>
              <w:t>  </w:t>
            </w:r>
          </w:p>
        </w:tc>
        <w:tc>
          <w:tcPr>
            <w:tcW w:w="3117" w:type="dxa"/>
            <w:tcBorders/>
          </w:tcPr>
          <w:p>
            <w:pPr>
              <w:pStyle w:val="TableContents"/>
              <w:bidi w:val="0"/>
              <w:spacing w:before="0" w:after="20"/>
              <w:jc w:val="center"/>
              <w:rPr>
                <w:rFonts w:ascii="Times New Roman" w:hAnsi="Times New Roman"/>
                <w:sz w:val="20"/>
              </w:rPr>
            </w:pPr>
            <w:r>
              <w:rPr>
                <w:rFonts w:ascii="Times New Roman" w:hAnsi="Times New Roman"/>
                <w:sz w:val="20"/>
              </w:rPr>
              <w:t></w:t>
            </w:r>
          </w:p>
        </w:tc>
      </w:tr>
      <w:tr>
        <w:trPr/>
        <w:tc>
          <w:tcPr>
            <w:tcW w:w="3611" w:type="dxa"/>
            <w:tcBorders/>
          </w:tcPr>
          <w:p>
            <w:pPr>
              <w:pStyle w:val="TableContents"/>
              <w:bidi w:val="0"/>
              <w:spacing w:before="0" w:after="283"/>
              <w:jc w:val="left"/>
              <w:rPr/>
            </w:pPr>
            <w:r>
              <w:rPr/>
              <w:t>Human voltage-gated Ca channels (cardiac)</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center"/>
              <w:rPr/>
            </w:pPr>
            <w:r>
              <w:rPr/>
              <w:t>&lt;10% inhibition at 10 µM</w:t>
            </w:r>
          </w:p>
        </w:tc>
        <w:tc>
          <w:tcPr>
            <w:tcW w:w="121" w:type="dxa"/>
            <w:tcBorders/>
            <w:vAlign w:val="bottom"/>
          </w:tcPr>
          <w:p>
            <w:pPr>
              <w:pStyle w:val="TableContents"/>
              <w:bidi w:val="0"/>
              <w:spacing w:before="0" w:after="283"/>
              <w:jc w:val="left"/>
              <w:rPr/>
            </w:pPr>
            <w:r>
              <w:rPr/>
              <w:t>  </w:t>
            </w:r>
          </w:p>
        </w:tc>
        <w:tc>
          <w:tcPr>
            <w:tcW w:w="3117" w:type="dxa"/>
            <w:tcBorders/>
          </w:tcPr>
          <w:p>
            <w:pPr>
              <w:pStyle w:val="TableContents"/>
              <w:bidi w:val="0"/>
              <w:spacing w:before="0" w:after="283"/>
              <w:jc w:val="center"/>
              <w:rPr/>
            </w:pPr>
            <w:r>
              <w:rPr/>
              <w:t>&gt;100-fold</w:t>
            </w:r>
          </w:p>
        </w:tc>
      </w:tr>
      <w:tr>
        <w:trPr/>
        <w:tc>
          <w:tcPr>
            <w:tcW w:w="3611" w:type="dxa"/>
            <w:tcBorders/>
          </w:tcPr>
          <w:p>
            <w:pPr>
              <w:pStyle w:val="TableContents"/>
              <w:bidi w:val="0"/>
              <w:spacing w:before="0" w:after="283"/>
              <w:jc w:val="left"/>
              <w:rPr/>
            </w:pPr>
            <w:r>
              <w:rPr/>
              <w:t>Human hERG K channels (cardiac)</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center"/>
              <w:rPr/>
            </w:pPr>
            <w:r>
              <w:rPr/>
              <w:t>&lt;10% inhibition at 10 µM</w:t>
            </w:r>
          </w:p>
        </w:tc>
        <w:tc>
          <w:tcPr>
            <w:tcW w:w="121" w:type="dxa"/>
            <w:tcBorders/>
            <w:vAlign w:val="bottom"/>
          </w:tcPr>
          <w:p>
            <w:pPr>
              <w:pStyle w:val="TableContents"/>
              <w:bidi w:val="0"/>
              <w:spacing w:before="0" w:after="283"/>
              <w:jc w:val="left"/>
              <w:rPr/>
            </w:pPr>
            <w:r>
              <w:rPr/>
              <w:t>  </w:t>
            </w:r>
          </w:p>
        </w:tc>
        <w:tc>
          <w:tcPr>
            <w:tcW w:w="3117" w:type="dxa"/>
            <w:tcBorders/>
          </w:tcPr>
          <w:p>
            <w:pPr>
              <w:pStyle w:val="TableContents"/>
              <w:bidi w:val="0"/>
              <w:spacing w:before="0" w:after="283"/>
              <w:jc w:val="center"/>
              <w:rPr/>
            </w:pPr>
            <w:r>
              <w:rPr/>
              <w:t>&gt;100-fold</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IC50 = concentration producing 50% inhibition of channel activity. Activity of each channel was assessed by electrophysiological (electrical) measurements of either calcium ion (Ca2+) or potassium ion (K+) flow through the indicated channel. The maximum soluble concentration of compound (10 µM) was tested on the cardiac channels.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Assay performed by us in 2011-2012.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Assay performed by a contracted vendor in 2012.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P-Values and Confidence Intervals </w:t>
      </w:r>
    </w:p>
    <w:p>
      <w:pPr>
        <w:pStyle w:val="TextBody"/>
        <w:bidi w:val="0"/>
        <w:spacing w:before="120" w:after="0"/>
        <w:jc w:val="left"/>
        <w:rPr>
          <w:rFonts w:ascii="Times New Roman" w:hAnsi="Times New Roman"/>
          <w:sz w:val="20"/>
        </w:rPr>
      </w:pPr>
      <w:r>
        <w:rPr>
          <w:rFonts w:ascii="Times New Roman" w:hAnsi="Times New Roman"/>
          <w:sz w:val="20"/>
        </w:rPr>
        <w:t>In various sections of this proxy statement, we discuss p-values and confidence intervals. The conventional method for measuring the statistical significance of a result is known as the p-value, which represents the probability of obtaining results at least as extreme as those that were observed in the study presuming that the null hypothesis of no effect is true. Generally, a p-value less than 0.05 is considered statistically significant and may be supportive of a finding of efficacy by regulatory authorities. However, regulatory authorities, including the FDA, do not rely on strict statistical significance thresholds as criteria for marketing approval and maintain the flexibility to evaluate the overall risks and benefits of a treatment. A confidence interval (</w:t>
      </w:r>
      <w:r>
        <w:rPr>
          <w:rFonts w:ascii="Times New Roman" w:hAnsi="Times New Roman"/>
          <w:b/>
          <w:sz w:val="20"/>
        </w:rPr>
        <w:t>CI</w:t>
      </w:r>
      <w:r>
        <w:rPr>
          <w:rFonts w:ascii="Times New Roman" w:hAnsi="Times New Roman"/>
          <w:sz w:val="20"/>
        </w:rPr>
        <w:t xml:space="preserve">) is a range of values within which the true value has a specified probability to exist. It is conventional to set the confidence interval at 95%, which means 95 of 100 times, the confidence interval will contain the true value. If the confidence interval does not contain the value of zero (the null value), it can be assumed that there is a statistically significant effect.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Auxora for the Treatment of AP </w:t>
      </w:r>
    </w:p>
    <w:p>
      <w:pPr>
        <w:pStyle w:val="TextBody"/>
        <w:bidi w:val="0"/>
        <w:spacing w:before="120" w:after="0"/>
        <w:jc w:val="left"/>
        <w:rPr>
          <w:rFonts w:ascii="Times New Roman" w:hAnsi="Times New Roman"/>
          <w:sz w:val="20"/>
        </w:rPr>
      </w:pPr>
      <w:r>
        <w:rPr>
          <w:rFonts w:ascii="Times New Roman" w:hAnsi="Times New Roman"/>
          <w:sz w:val="20"/>
        </w:rPr>
        <w:t xml:space="preserve">We have conducted a Phase 2a clinical trial of Auxora in AP patients with SIRS along with hypoxemia predicted to have moderate or severe AP. Because of the complications of SIRS and hypoxemia, these patients were at high risk for developing severe AP and life-threatening organ failure, particularly respiratory failure. In this trial Auxora treatment was associated with reduced local and systemic inflammation, improved ability to tolerate solid food, and shorter hospital stays. We are now conducting a Phase 2b clinical trial of Auxora in 216 patients with predicted moderate or severe AP with data expected in the second half of 2023. We have received Fast Track designation from the FDA and Orphan Drug designation in the EU from the EMA for Auxora for the treatment of AP. However, there is no guarantee that Fast Track designation will result in a faster regulatory review or regulatory approval.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143500" cy="2476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143500" cy="24765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18288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295900" cy="18288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Treatment with Auxora could offer significant benefits to AP patients and prevent disease progression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Acute Pancreatitis Background </w:t>
      </w:r>
    </w:p>
    <w:p>
      <w:pPr>
        <w:pStyle w:val="TextBody"/>
        <w:bidi w:val="0"/>
        <w:spacing w:before="120" w:after="0"/>
        <w:jc w:val="left"/>
        <w:rPr>
          <w:rFonts w:ascii="Times New Roman" w:hAnsi="Times New Roman"/>
          <w:sz w:val="20"/>
        </w:rPr>
      </w:pPr>
      <w:r>
        <w:rPr>
          <w:rFonts w:ascii="Times New Roman" w:hAnsi="Times New Roman"/>
          <w:sz w:val="20"/>
        </w:rPr>
        <w:t xml:space="preserve">Acute pancreatitis is an acute inflammatory process of the pancreas that presents as severe upper abdominal pain, often accompanied by nausea and vomiting. During episodes of the disease, inflammation of the pancreas occurs, which can lead to pancreatic cell death or necrosis and systemic inflammation. Normal pancreatic functions, such as the secretion of digestive enzymes required to break down carbohydrates and fats, are disabled. There are no approved therapies for AP but most cases are mild and resolve after several days of supportive care, including avoiding oral feeding in the short term to not further aggravate the pancreas. Most patients are hospitalized and require IV fluids and monitoring for development of more severe symptoms. </w:t>
      </w:r>
    </w:p>
    <w:p>
      <w:pPr>
        <w:pStyle w:val="TextBody"/>
        <w:bidi w:val="0"/>
        <w:spacing w:before="240" w:after="0"/>
        <w:jc w:val="left"/>
        <w:rPr>
          <w:rFonts w:ascii="Times New Roman" w:hAnsi="Times New Roman"/>
          <w:sz w:val="20"/>
        </w:rPr>
      </w:pPr>
      <w:r>
        <w:rPr>
          <w:rFonts w:ascii="Times New Roman" w:hAnsi="Times New Roman"/>
          <w:sz w:val="20"/>
        </w:rPr>
        <w:t xml:space="preserve">Severe complications arise because of the acute inflammatory response that takes place in the pancreas. These complications can lead to SIRS, in which the function of other tissues or organs, including the lung may be compromised. Approximately one third of patients with severe AP develop acute lung injury or ARDS. Lung failure accounts for approximately 60% of deaths associated with AP in developed countries. </w:t>
      </w:r>
    </w:p>
    <w:p>
      <w:pPr>
        <w:pStyle w:val="TextBody"/>
        <w:bidi w:val="0"/>
        <w:spacing w:before="240" w:after="0"/>
        <w:jc w:val="left"/>
        <w:rPr>
          <w:rFonts w:ascii="Times New Roman" w:hAnsi="Times New Roman"/>
          <w:sz w:val="20"/>
        </w:rPr>
      </w:pPr>
      <w:r>
        <w:rPr>
          <w:rFonts w:ascii="Times New Roman" w:hAnsi="Times New Roman"/>
          <w:sz w:val="20"/>
        </w:rPr>
        <w:t xml:space="preserve">There are an estimated 275,000 hospitalizations for AP annually in the United States. Mortality in mild AP is less than 1% but climbs to 20-30% in patients with severe disease. Approximately 40% of hospitalized AP patients present with SIRS and are predicted to have moderate or severe disease, with 15% actually developing severe AP. The target population for Auxora in our ongoing Phase 2b clinical trial is AP patients with accompanying SIRS, which we estimate to be approximately 100,000 patients per year in the United States alone. </w:t>
      </w:r>
    </w:p>
    <w:p>
      <w:pPr>
        <w:pStyle w:val="TextBody"/>
        <w:bidi w:val="0"/>
        <w:spacing w:before="0" w:after="0"/>
        <w:jc w:val="left"/>
        <w:rPr/>
      </w:pPr>
      <w:r>
        <w:rPr/>
        <w:t> </w:t>
      </w:r>
    </w:p>
    <w:p>
      <w:pPr>
        <w:pStyle w:val="TextBody"/>
        <w:bidi w:val="0"/>
        <w:spacing w:before="0" w:after="0"/>
        <w:jc w:val="center"/>
        <w:rPr/>
      </w:pPr>
      <w:r>
        <w:rPr/>
        <w:drawing>
          <wp:inline distT="0" distB="0" distL="0" distR="0">
            <wp:extent cx="5591175" cy="2238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591175" cy="22383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b/>
          <w:sz w:val="20"/>
        </w:rPr>
        <w:t>SIRS</w:t>
      </w:r>
      <w:r>
        <w:rPr>
          <w:rFonts w:ascii="Times New Roman" w:hAnsi="Times New Roman"/>
          <w:sz w:val="20"/>
        </w:rPr>
        <w:t xml:space="preserve">: Systemic Inflammatory Response Syndrome </w:t>
      </w:r>
    </w:p>
    <w:p>
      <w:pPr>
        <w:pStyle w:val="TextBody"/>
        <w:bidi w:val="0"/>
        <w:spacing w:before="240" w:after="0"/>
        <w:jc w:val="left"/>
        <w:rPr>
          <w:rFonts w:ascii="Times New Roman" w:hAnsi="Times New Roman"/>
          <w:i/>
          <w:sz w:val="20"/>
        </w:rPr>
      </w:pPr>
      <w:r>
        <w:rPr>
          <w:rFonts w:ascii="Times New Roman" w:hAnsi="Times New Roman"/>
          <w:i/>
          <w:sz w:val="20"/>
        </w:rPr>
        <w:t xml:space="preserve">Target patients for Auxora in AP are a subpopulation of total number of AP hospitalizations and are selected primarily based on the presence of SIRS. </w:t>
      </w:r>
    </w:p>
    <w:p>
      <w:pPr>
        <w:pStyle w:val="TextBody"/>
        <w:bidi w:val="0"/>
        <w:spacing w:before="240" w:after="0"/>
        <w:jc w:val="left"/>
        <w:rPr>
          <w:rFonts w:ascii="Times New Roman" w:hAnsi="Times New Roman"/>
          <w:sz w:val="20"/>
        </w:rPr>
      </w:pPr>
      <w:r>
        <w:rPr>
          <w:rFonts w:ascii="Times New Roman" w:hAnsi="Times New Roman"/>
          <w:sz w:val="20"/>
        </w:rPr>
        <w:t xml:space="preserve">Leading causes of AP are gall stones and resulting elevated levels of bile salts, and alcohol metabolites, together accounting for 60-80% of all cases depending on the specific population examined. Other causes include: hypertriglyceridemia, familial (genetic) types, hypercalcemia, abdominal injury or trauma (including endoscopic retrograde cholangiopancreatography), cancer, drug-induced, or autoimmune, each making up smaller slices of the total AP population. These different causes all appear to lead to a common mechanism in which calcium within pancreatic cells drives pathology. </w:t>
      </w:r>
    </w:p>
    <w:p>
      <w:pPr>
        <w:pStyle w:val="TextBody"/>
        <w:bidi w:val="0"/>
        <w:spacing w:before="0" w:after="0"/>
        <w:jc w:val="left"/>
        <w:rPr/>
      </w:pPr>
      <w:r>
        <w:rPr/>
        <w:t> </w:t>
      </w:r>
    </w:p>
    <w:p>
      <w:pPr>
        <w:pStyle w:val="TextBody"/>
        <w:bidi w:val="0"/>
        <w:spacing w:before="0" w:after="0"/>
        <w:jc w:val="center"/>
        <w:rPr/>
      </w:pPr>
      <w:r>
        <w:rPr/>
        <w:drawing>
          <wp:inline distT="0" distB="0" distL="0" distR="0">
            <wp:extent cx="5143500" cy="2486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143500" cy="2486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i/>
          <w:sz w:val="20"/>
        </w:rPr>
        <w:t>Inhibition of CRAC channels has the potential to impact multiple pathologies associated with AP.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Excessive signaling through calcium-dependent pathways has been linked to multiple pathologies associated with AP. A primary function of the pancreas is to produce enzymes that are required to digest food. The secretion of these enzymes from the pancreas is dependent on the periodic release of calcium from internal stores in cells called the pancreatic acinar cells. In AP, aberrant activation of these cells results in elevated, toxic levels of intracellular calcium and, as a consequence, the inappropriate activation of digestive enzymes inside the cells causes the acinar cells to self-digest. </w:t>
      </w:r>
    </w:p>
    <w:p>
      <w:pPr>
        <w:pStyle w:val="TextBody"/>
        <w:bidi w:val="0"/>
        <w:spacing w:before="240" w:after="0"/>
        <w:jc w:val="left"/>
        <w:rPr>
          <w:rFonts w:ascii="Times New Roman" w:hAnsi="Times New Roman"/>
          <w:sz w:val="20"/>
        </w:rPr>
      </w:pPr>
      <w:r>
        <w:rPr>
          <w:rFonts w:ascii="Times New Roman" w:hAnsi="Times New Roman"/>
          <w:sz w:val="20"/>
        </w:rPr>
        <w:t xml:space="preserve">Acute pancreatitis is also associated with a high level of inflammation. In some patients, the release of inflammatory cytokines and the triggering of SIRS can lead to life-threatening distal organ failure. Previous studies have established a strong link between calcium signaling and the release of inflammatory cytokines. The most frequent systemic complications in severe cases of AP are respiratory dysfunctions ranging from hypoxemia to ARDS. As in the case with ARDS from other underlying causes, AP-associated ARDS is the result of both increased vascular permeability and an increase in inflammation, which we believe are CRAC channel-dependent processes.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Acute Pancreatitis Phase 2a Clinical Trial Results </w:t>
      </w:r>
    </w:p>
    <w:p>
      <w:pPr>
        <w:pStyle w:val="TextBody"/>
        <w:bidi w:val="0"/>
        <w:spacing w:before="120" w:after="0"/>
        <w:jc w:val="left"/>
        <w:rPr>
          <w:rFonts w:ascii="Times New Roman" w:hAnsi="Times New Roman"/>
          <w:sz w:val="20"/>
        </w:rPr>
      </w:pPr>
      <w:r>
        <w:rPr>
          <w:rFonts w:ascii="Times New Roman" w:hAnsi="Times New Roman"/>
          <w:sz w:val="20"/>
        </w:rPr>
        <w:t xml:space="preserve">We completed a Phase 2a clinical trial of Auxora in 21 patients with AP with predicted severe or moderately severe disease as determined by the presence of SIRS and hypoxemia. Patients were enrolled in two cohorts. Fourteen patients received Auxora plus SOC and seven received SOC only. The Auxora- treated patients received a daily IV dose of Auxora for up to four days. As an early-stage proof of concept trial, this trial was not powered for statistical significance for any of the endpoints. </w:t>
      </w:r>
    </w:p>
    <w:p>
      <w:pPr>
        <w:pStyle w:val="TextBody"/>
        <w:bidi w:val="0"/>
        <w:spacing w:before="0" w:after="0"/>
        <w:jc w:val="left"/>
        <w:rPr/>
      </w:pPr>
      <w:r>
        <w:rPr/>
        <w:t> </w:t>
      </w:r>
    </w:p>
    <w:p>
      <w:pPr>
        <w:pStyle w:val="TextBody"/>
        <w:bidi w:val="0"/>
        <w:spacing w:before="0" w:after="0"/>
        <w:jc w:val="center"/>
        <w:rPr/>
      </w:pPr>
      <w:r>
        <w:rPr/>
        <w:drawing>
          <wp:inline distT="0" distB="0" distL="0" distR="0">
            <wp:extent cx="5848350" cy="2466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848350" cy="24669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Trial design for Auxora AP Phase 2a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The primary symptom associated with AP is severe upper abdominal pain. Patients with AP are unable to tolerate any solid food without an increase in pain or the occurrence of nausea or vomiting until the pancreatitis resolves. In this clinical trial, only one patient in the Auxora-treated group and one patient in the SOC group were tolerating solid food at study entry. After 72 hours, seven of 14 Auxora patients were tolerating solid food while only one of seven SOC patients was tolerating solid food. At the time of hospital discharge, 13 of 14 Auxora patients could tolerate solid food compared to three of seven SOC patients. </w:t>
      </w:r>
    </w:p>
    <w:p>
      <w:pPr>
        <w:pStyle w:val="TextBody"/>
        <w:bidi w:val="0"/>
        <w:spacing w:before="0" w:after="0"/>
        <w:jc w:val="left"/>
        <w:rPr/>
      </w:pPr>
      <w:r>
        <w:rPr/>
        <w:t> </w:t>
      </w:r>
    </w:p>
    <w:p>
      <w:pPr>
        <w:pStyle w:val="TextBody"/>
        <w:bidi w:val="0"/>
        <w:spacing w:before="0" w:after="0"/>
        <w:jc w:val="center"/>
        <w:rPr/>
      </w:pPr>
      <w:r>
        <w:rPr/>
        <w:drawing>
          <wp:inline distT="0" distB="0" distL="0" distR="0">
            <wp:extent cx="2714625" cy="2333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714625" cy="2333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Acute pancreatitis patients treated with Auxora were able to tolerate food sooner than matched controls. </w:t>
      </w:r>
    </w:p>
    <w:p>
      <w:pPr>
        <w:pStyle w:val="TextBody"/>
        <w:bidi w:val="0"/>
        <w:spacing w:before="240" w:after="0"/>
        <w:jc w:val="left"/>
        <w:rPr>
          <w:rFonts w:ascii="Times New Roman" w:hAnsi="Times New Roman"/>
          <w:sz w:val="20"/>
        </w:rPr>
      </w:pPr>
      <w:r>
        <w:rPr>
          <w:rFonts w:ascii="Times New Roman" w:hAnsi="Times New Roman"/>
          <w:sz w:val="20"/>
        </w:rPr>
        <w:t xml:space="preserve">Patients treated with Auxora were discharged from the hospital after a median of 3.7 days compared to SOC patients, who had a median stay of 6.0 days. Of the 21 patients enrolled in this trial, five had respiratory failure at the time of enrollment, four in the Auxora-treated group and one in the SOC group. Of the four Auxora- treated patients, only one required intubation and mechanical ventilation after several days as a result of a procedural complication. This patient ultimately died of complications from respiratory failure, whereas the only SOC patient who enrolled with respiratory failure required immediate intubation and mechanical ventilation. This SOC patient was on a ventilator for more than 90 days before dying. </w:t>
      </w:r>
    </w:p>
    <w:p>
      <w:pPr>
        <w:pStyle w:val="TextBody"/>
        <w:bidi w:val="0"/>
        <w:spacing w:before="240" w:after="0"/>
        <w:jc w:val="left"/>
        <w:rPr>
          <w:rFonts w:ascii="Times New Roman" w:hAnsi="Times New Roman"/>
          <w:sz w:val="20"/>
        </w:rPr>
      </w:pPr>
      <w:r>
        <w:rPr>
          <w:rFonts w:ascii="Times New Roman" w:hAnsi="Times New Roman"/>
          <w:sz w:val="20"/>
        </w:rPr>
        <w:t>An objective measure of the severity of AP is the computed tomography severity index (</w:t>
      </w:r>
      <w:r>
        <w:rPr>
          <w:rFonts w:ascii="Times New Roman" w:hAnsi="Times New Roman"/>
          <w:b/>
          <w:sz w:val="20"/>
        </w:rPr>
        <w:t>CTSI</w:t>
      </w:r>
      <w:r>
        <w:rPr>
          <w:rFonts w:ascii="Times New Roman" w:hAnsi="Times New Roman"/>
          <w:sz w:val="20"/>
        </w:rPr>
        <w:t xml:space="preserve">) that is based on findings from a CT scan with IV contrast to assess radiographic severity of the disease. CTSI scores have been found to correlate with clinical indices of severity. CT scans were obtained from all the patients in this clinical trial both at study entry and at hospital discharge or five days, whichever was earlier, and sent to a blinded central reader to determine the CTSI score. Twelve of the patients, eight in the Auxora-treated group and four in the SOC group, were found to have elevated CTSI scores at the time of randomization that were consistent with moderate to severe AP. Three of the eight Auxora-treated patients with elevated CTSI scores saw improvement over the course of their hospital stay while none of the four SOC patients experienced improvement. </w:t>
      </w:r>
    </w:p>
    <w:p>
      <w:pPr>
        <w:pStyle w:val="TextBody"/>
        <w:bidi w:val="0"/>
        <w:spacing w:before="240" w:after="0"/>
        <w:jc w:val="left"/>
        <w:rPr>
          <w:rFonts w:ascii="Times New Roman" w:hAnsi="Times New Roman"/>
          <w:sz w:val="20"/>
        </w:rPr>
      </w:pPr>
      <w:r>
        <w:rPr>
          <w:rFonts w:ascii="Times New Roman" w:hAnsi="Times New Roman"/>
          <w:sz w:val="20"/>
        </w:rPr>
        <w:t xml:space="preserve">Persistent SIRS, defined as SIRS lasting more than 48 hours, is an indication of continued activation of inflammatory pathways in patients with AP. Furthermore, persistent SIRS is highly predictive for the development of organ failure in AP. All patients in this AP trial had SIRS at enrollment. Only five of the fourteen patients treated with Auxora had persistent SIRS, while five of the seven patients treated with SOC alone had persistent SIRS.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4867275" cy="21145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867275" cy="21145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Auxora treatment was associated with improvements in multiple clinically relevant parameters. </w:t>
      </w:r>
    </w:p>
    <w:p>
      <w:pPr>
        <w:pStyle w:val="TextBody"/>
        <w:bidi w:val="0"/>
        <w:spacing w:before="240" w:after="0"/>
        <w:jc w:val="left"/>
        <w:rPr>
          <w:rFonts w:ascii="Times New Roman" w:hAnsi="Times New Roman"/>
          <w:sz w:val="20"/>
        </w:rPr>
      </w:pPr>
      <w:r>
        <w:rPr>
          <w:rFonts w:ascii="Times New Roman" w:hAnsi="Times New Roman"/>
          <w:sz w:val="20"/>
        </w:rPr>
        <w:t xml:space="preserve">The potential impact of Auxora treatment on the inflammatory response is illustrated by one patient in the Auxora-treated arm who was admitted to the hospital with respiratory failure and an extremely high level of IL-6, a pro-inflammatory cytokine, of greater than 7296 pg/ml, a level approximately 450-fold higher than the upper level of normal range. Historically, levels of greater than 122 pg/ml are predictive of organ failure in AP and levels above 80 pg/ml are associated with a 22-fold increased risk of respiratory failure in COVID-19 patients. At 120 hours, and after four doses of Auxora, the level of IL-6 in this patient was reduced to 66 pg/ml. This patient did not require intubation and was discharged on room air, not supplemental oxygen, on the eighth day. </w:t>
      </w:r>
    </w:p>
    <w:p>
      <w:pPr>
        <w:pStyle w:val="TextBody"/>
        <w:bidi w:val="0"/>
        <w:spacing w:before="0" w:after="0"/>
        <w:jc w:val="left"/>
        <w:rPr/>
      </w:pPr>
      <w:r>
        <w:rPr/>
        <w:t> </w:t>
      </w:r>
    </w:p>
    <w:p>
      <w:pPr>
        <w:pStyle w:val="TextBody"/>
        <w:bidi w:val="0"/>
        <w:spacing w:before="0" w:after="0"/>
        <w:jc w:val="center"/>
        <w:rPr/>
      </w:pPr>
      <w:r>
        <w:rPr/>
        <w:drawing>
          <wp:inline distT="0" distB="0" distL="0" distR="0">
            <wp:extent cx="3019425" cy="2352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019425" cy="23526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A rapid reduction in IL-6 levels was observed in a patient treated with Auxora. </w:t>
      </w:r>
    </w:p>
    <w:p>
      <w:pPr>
        <w:pStyle w:val="TextBody"/>
        <w:bidi w:val="0"/>
        <w:spacing w:before="240" w:after="0"/>
        <w:jc w:val="left"/>
        <w:rPr>
          <w:rFonts w:ascii="Times New Roman" w:hAnsi="Times New Roman"/>
          <w:sz w:val="20"/>
        </w:rPr>
      </w:pPr>
      <w:r>
        <w:rPr>
          <w:rFonts w:ascii="Times New Roman" w:hAnsi="Times New Roman"/>
          <w:sz w:val="20"/>
        </w:rPr>
        <w:t>Auxora was generally well-tolerated in the trial. Treatment-emergent adverse events (</w:t>
      </w:r>
      <w:r>
        <w:rPr>
          <w:rFonts w:ascii="Times New Roman" w:hAnsi="Times New Roman"/>
          <w:b/>
          <w:sz w:val="20"/>
        </w:rPr>
        <w:t>TEAEs</w:t>
      </w:r>
      <w:r>
        <w:rPr>
          <w:rFonts w:ascii="Times New Roman" w:hAnsi="Times New Roman"/>
          <w:sz w:val="20"/>
        </w:rPr>
        <w:t>) were reported in 12 (86%) patients receiving Auxora and four (43%) patients receiving SOC alone. The majority of adverse events (</w:t>
      </w:r>
      <w:r>
        <w:rPr>
          <w:rFonts w:ascii="Times New Roman" w:hAnsi="Times New Roman"/>
          <w:b/>
          <w:sz w:val="20"/>
        </w:rPr>
        <w:t>AEs</w:t>
      </w:r>
      <w:r>
        <w:rPr>
          <w:rFonts w:ascii="Times New Roman" w:hAnsi="Times New Roman"/>
          <w:sz w:val="20"/>
        </w:rPr>
        <w:t>) in patients treated with Auxora were mild and considered resolved or resolving at the end of the trial. Severe TEAEs occurred in two patients (14%) receiving Auxora and two patients (29%) receiving SOC alone. Three patients (21%) treated with Auxora and two patients (29%) treated with SOC alone developed serious adverse events (</w:t>
      </w:r>
      <w:r>
        <w:rPr>
          <w:rFonts w:ascii="Times New Roman" w:hAnsi="Times New Roman"/>
          <w:b/>
          <w:sz w:val="20"/>
        </w:rPr>
        <w:t>SAEs</w:t>
      </w:r>
      <w:r>
        <w:rPr>
          <w:rFonts w:ascii="Times New Roman" w:hAnsi="Times New Roman"/>
          <w:sz w:val="20"/>
        </w:rPr>
        <w:t xml:space="preserve">). One death occurred in the Auxora treatment arm which was attributed to abdominal compartment syndrome and multi-organ failure. None of the AEs were deemed to be Auxora-related by the principal investigators. A summary of AEs reported in two or more patients receiving Auxora is listed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019675" cy="1524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019675" cy="1524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Summary of Adverse Events Reported by Two or More Patients Receiving Auxora.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SAEs occurred in patients treated with Auxora: death, non-infective cystitis, acute pancreatitis, sepsis, ARDS, hypoxic-ischemic encephalopathy (a type of brain dysfunction), pneumonia, respiratory failure and pulseless electrical activity. None of the SAEs were deemed to be Auxora-related by the principal investigators.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CARPO: Ongoing Phase 2b Clinical Trial in AP </w:t>
      </w:r>
    </w:p>
    <w:p>
      <w:pPr>
        <w:pStyle w:val="TextBody"/>
        <w:bidi w:val="0"/>
        <w:spacing w:before="120" w:after="0"/>
        <w:jc w:val="left"/>
        <w:rPr>
          <w:rFonts w:ascii="Times New Roman" w:hAnsi="Times New Roman"/>
          <w:sz w:val="20"/>
        </w:rPr>
      </w:pPr>
      <w:r>
        <w:rPr>
          <w:rFonts w:ascii="Times New Roman" w:hAnsi="Times New Roman"/>
          <w:sz w:val="20"/>
        </w:rPr>
        <w:t>In March 2021, we initiated C</w:t>
      </w:r>
      <w:r>
        <w:rPr>
          <w:rFonts w:ascii="Times New Roman" w:hAnsi="Times New Roman"/>
          <w:sz w:val="20"/>
          <w:u w:val="single"/>
        </w:rPr>
        <w:t xml:space="preserve">ARPO, </w:t>
      </w:r>
      <w:r>
        <w:rPr>
          <w:rFonts w:ascii="Times New Roman" w:hAnsi="Times New Roman"/>
          <w:sz w:val="20"/>
        </w:rPr>
        <w:t xml:space="preserve">a randomized, double-blind placebo-controlled Phase 2b clinical trial in patients with AP and accompanying SIRS. This is a randomized, double-blind, placebo-controlled trial examining three dose levels of Auxora versus placebo. The clinical trial includes 54 patients in each of the four cohorts. Doses for two cohorts are essentially the same as doses patients received in the open-label Phase 2a clinical trial. A third cohort is receiving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half the middle dose level. The fourth cohort will receive matched volumes of placebo. This dose ranging is intended to establish a dose- response in the AP setting. Endpoints include measures of safety, patient benefit and outcome improvement with a primary endpoint of food tolerance and responder analysis. Advisers suggest that food tolerance is the best measure of clinical efficacy, and, in addition to being the primary endpoint, food tolerance will be validated through a responders analysis. We anticipate results from this clinical trial in the first half of 2024. </w:t>
      </w:r>
    </w:p>
    <w:p>
      <w:pPr>
        <w:pStyle w:val="TextBody"/>
        <w:bidi w:val="0"/>
        <w:spacing w:before="0" w:after="0"/>
        <w:jc w:val="left"/>
        <w:rPr/>
      </w:pPr>
      <w:r>
        <w:rPr/>
        <w:t> </w:t>
      </w:r>
    </w:p>
    <w:p>
      <w:pPr>
        <w:pStyle w:val="TextBody"/>
        <w:bidi w:val="0"/>
        <w:spacing w:before="0" w:after="0"/>
        <w:jc w:val="center"/>
        <w:rPr/>
      </w:pPr>
      <w:r>
        <w:rPr/>
        <w:drawing>
          <wp:inline distT="0" distB="0" distL="0" distR="0">
            <wp:extent cx="5181600" cy="24955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181600" cy="24955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Trial design for CARPO, Phase 2b clinical trial in AP.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CRSPA: Ongoing Open-Label Phase 1/2 Clinical Trial in AIPT (Pancreatitis as a Side Effect of Pediatric ALL Treatment) </w:t>
      </w:r>
    </w:p>
    <w:p>
      <w:pPr>
        <w:pStyle w:val="TextBody"/>
        <w:bidi w:val="0"/>
        <w:spacing w:before="120" w:after="0"/>
        <w:jc w:val="left"/>
        <w:rPr>
          <w:rFonts w:ascii="Times New Roman" w:hAnsi="Times New Roman"/>
          <w:sz w:val="20"/>
        </w:rPr>
      </w:pPr>
      <w:r>
        <w:rPr>
          <w:rFonts w:ascii="Times New Roman" w:hAnsi="Times New Roman"/>
          <w:sz w:val="20"/>
        </w:rPr>
        <w:t xml:space="preserve">CRSPA is an open-label Phase 1/2 clinical trial investigating Auxora as a potential therapy in pediatric patients that develop AIPT as a result of treatment for their underlying ALL. Current therapies for ALL result in long term survival for over 90% of pediatric ALL patients. One of the mainstays of therapy in these patients is asparaginase, an enzyme that degrades the amino acid asparagine, which is essential for the leukemic cells to survive. However, the administration of asparaginase triggers the development of pancreatitis or AIPT in 7-10% of patients of the over 3,000 pediatric ALL patients treated per year in the US, with similar numbers in Europe. It has been shown that over 50% of patients with AIPT develop pseudocysts or pancreatic necrosis. There is currently no disease modifying treatment for AIPT and standard of care only addresses the symptoms of the disease. </w:t>
      </w:r>
    </w:p>
    <w:p>
      <w:pPr>
        <w:pStyle w:val="TextBody"/>
        <w:bidi w:val="0"/>
        <w:spacing w:before="240" w:after="0"/>
        <w:jc w:val="left"/>
        <w:rPr>
          <w:rFonts w:ascii="Times New Roman" w:hAnsi="Times New Roman"/>
          <w:sz w:val="20"/>
        </w:rPr>
      </w:pPr>
      <w:r>
        <w:rPr>
          <w:rFonts w:ascii="Times New Roman" w:hAnsi="Times New Roman"/>
          <w:sz w:val="20"/>
        </w:rPr>
        <w:t xml:space="preserve">In CRSPA, pediatric patients suffering from AIPT are enrolled and treated with four daily doses of Auxora with the primary endpoints of safety, tolerability and the reduction in development of complications of AIPT, including necrotizing pancreatitis and SIRS. To date, nine patients (ages 3 to 17 years) at a single site have been treated in CRSPA. Based on preliminary, unpublished data from the first cohort of patients from the single site, eight of these patients, all of whom received four full doses of drug over a four day period, had a more rapid resolution of their AIPT as compared to the current standard of care. One patient, for whom consent was withdrawn, received less than one full dose of Auxora, and developed necrotizing pancreatitis. </w:t>
      </w:r>
    </w:p>
    <w:p>
      <w:pPr>
        <w:pStyle w:val="TextBody"/>
        <w:bidi w:val="0"/>
        <w:spacing w:before="240" w:after="0"/>
        <w:jc w:val="left"/>
        <w:rPr>
          <w:rFonts w:ascii="Times New Roman" w:hAnsi="Times New Roman"/>
          <w:sz w:val="20"/>
        </w:rPr>
      </w:pPr>
      <w:r>
        <w:rPr>
          <w:rFonts w:ascii="Times New Roman" w:hAnsi="Times New Roman"/>
          <w:sz w:val="20"/>
        </w:rPr>
        <w:t xml:space="preserve">According to clinical data published by Mauney, et. al., in the Journal of Pediatric Gastroenterology and Nutrition in March 2022, patients who developed AIPT have a median length of stay in the hospital of 10 days, whereas the median length of stay for patients treated with Auxora was less than six days consistent with their resolution of symptoms. This is a single arm open-label trial and a comparison to a blinded matched historical control group is underway. We expect data from this trial to be published in the fourth quarter of 2023. While initially a single-center trial, this trial is now being expanded to additional sites.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Preclinical Studies with Auxora in AP </w:t>
      </w:r>
    </w:p>
    <w:p>
      <w:pPr>
        <w:pStyle w:val="TextBody"/>
        <w:bidi w:val="0"/>
        <w:spacing w:before="120" w:after="0"/>
        <w:jc w:val="left"/>
        <w:rPr>
          <w:rFonts w:ascii="Times New Roman" w:hAnsi="Times New Roman"/>
          <w:sz w:val="20"/>
        </w:rPr>
      </w:pPr>
      <w:r>
        <w:rPr>
          <w:rFonts w:ascii="Times New Roman" w:hAnsi="Times New Roman"/>
          <w:sz w:val="20"/>
        </w:rPr>
        <w:t xml:space="preserve">Treatment with Auxora led to a decrease in inflammatory markers in both the pancreas and the lung in a cerulein-induced rat model of AP. In this AP model, rats were given four hourly intraperitoneal injections of cerulein to induce pancreatitis and Auxora was given in a therapeutic mode by a four-hour intravenous infusion, starting 30 minutes after the first cerulein injection. Animals were examined 30 minutes after the end of infusion. Cerulein overstimulates pancreatic acinar cells, causing overactivation of CRAC channels, premature activation of digestive enzymes, mitochondrial dysfunction and death of the acinar cells, as well as enhanced accumulation of cytokines. Auxora administered post-insult decreased the acinar cell damage (50% as measured by histopathology) and decreased mRNA transcript levels (measured by quantitative real-time polymerase chain reaction) of myeloperoxidase (MPO) (80-90%) a biomarker of neutrophil activation, and the inflammatory cytokines TNFα (80-90%), and IL-6 (80-90%) in the pancreas. Similar to AP in patients, inflammatory signals in the cerulein model are also observed in the lungs. The anti-inflammatory effects of Auxora in the pancreas were mirrored in lung tissue.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4400550" cy="26193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400550" cy="26193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i/>
          <w:sz w:val="20"/>
        </w:rPr>
        <w:t>Auxora inhibited the expression of MPO, TNF</w:t>
      </w:r>
      <w:r>
        <w:rPr>
          <w:rFonts w:ascii="Times New Roman" w:hAnsi="Times New Roman"/>
          <w:sz w:val="20"/>
        </w:rPr>
        <w:t xml:space="preserve">α </w:t>
      </w:r>
      <w:r>
        <w:rPr>
          <w:rFonts w:ascii="Times New Roman" w:hAnsi="Times New Roman"/>
          <w:i/>
          <w:sz w:val="20"/>
        </w:rPr>
        <w:t xml:space="preserve">and IL-6 in the cerulein-induced acute pancreatitis model in both the pancreas and lung. These results have been published in The Journal of Physiology.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 data described above, treatment with the active ingredient in Auxora, zegocractin, decreased pancreatic damage in two other models of AP in mice, gallstone and alcohol models. AP in a gallstone model was elicited by retrograde pancreatic ductal injection of a bile acid and in the alcohol model by intraperitoneal injections of a fatty acid and ethanol. Both bile acids and fatty acids + ethanol induce AP by overactivation of CRAC channels. Zegocractin was given by intraperitoneal injection in a therapeutic mode at one and 13 hours after disease induction and animals were examined 24 hours after disease induction. Under these conditions, zegocractin decreased the amount of inflammation, edema and acinar cell damage (each close to 50% as measured by histopathology; see the figure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3600450" cy="2943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00450" cy="29432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Zegocractin decreases pancreatic damage in two models of AP in mice. Shown are histology photomicrographs of the pancreas. The top panels are examples from control animals in both the gallstone (left) and alcohol (right) models showing the presence of inflammatory cells (small dark dots), edema (white areas) and acinar cell necrosis (light red). Bottom panels are from animals treated with Zegocractin, showing reduced inflammation, edema and necrosis. White bars = 50 m. </w:t>
      </w:r>
    </w:p>
    <w:p>
      <w:pPr>
        <w:pStyle w:val="TextBody"/>
        <w:bidi w:val="0"/>
        <w:spacing w:before="240" w:after="0"/>
        <w:jc w:val="left"/>
        <w:rPr>
          <w:rFonts w:ascii="Times New Roman" w:hAnsi="Times New Roman"/>
          <w:sz w:val="20"/>
        </w:rPr>
      </w:pPr>
      <w:r>
        <w:rPr>
          <w:rFonts w:ascii="Times New Roman" w:hAnsi="Times New Roman"/>
          <w:sz w:val="20"/>
        </w:rPr>
        <w:t xml:space="preserve">The ability of the pancreas to secrete digestive enzymes, fluid and bicarbonate is critical for the ability to digest food. Various toxins, including an alcohol metabolite, fatty acid ethyl ester, or bile acids can cause the premature activation of these digestive enzymes within the pancreas, leading to self-digestion and pancreatic cell death. One of the primary treatments for AP has been to completely stop all orally administered food for several days. A sign of the resolution of a case of AP is the ability to tolerate food, requiring functioning pancreatic ductal cells and appropriate secretion of digestive enzymes, fluid and bicarbonate. Thus, restoration of pancreatic ductal cell secretion is thought to be a critical element in the treatment of AP. </w:t>
      </w:r>
    </w:p>
    <w:p>
      <w:pPr>
        <w:pStyle w:val="TextBody"/>
        <w:bidi w:val="0"/>
        <w:spacing w:before="240" w:after="0"/>
        <w:jc w:val="left"/>
        <w:rPr>
          <w:rFonts w:ascii="Times New Roman" w:hAnsi="Times New Roman"/>
          <w:sz w:val="20"/>
        </w:rPr>
      </w:pPr>
      <w:r>
        <w:rPr>
          <w:rFonts w:ascii="Times New Roman" w:hAnsi="Times New Roman"/>
          <w:sz w:val="20"/>
        </w:rPr>
        <w:t xml:space="preserve">CRAC channel inhibition preserved pancreatic ductal fluid secretion in the cerulein-induced AP model in mice as well as in gallstone and alcohol models of AP. The mouse cerulein-induced AP model was performed like the rat model described above, except that seven hourly injections of cerulein were used and animals were examined 12 hours after the first cerulein injection. AP in the gallstone model was elicited by retrograde pancreatic ductal injection of a bile acid and in the alcohol model by intraperitoneal injections of a fatty acid and ethanol. Pancreatic fluid secretion was measured by collection of pancreatic juice from the pancreatic duct over a 30 minute period. In all three models, CM5480, a preclinical CRAC channel inhibitor model compound, given by intraperitoneal injection after disease onset was able to preserve pancreatic ductal fluid flow, suggesting that CRAC channel inhibition may have a direct protective effect on ductal cells that could help resolve 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533775" cy="21907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533775" cy="21907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CM5480 (CM-C) treatment led to the preservation of pancreatic ductal secretion in a cerulein-induced acute pancreatitis model. </w:t>
      </w:r>
    </w:p>
    <w:p>
      <w:pPr>
        <w:pStyle w:val="TextBody"/>
        <w:bidi w:val="0"/>
        <w:spacing w:before="360" w:after="0"/>
        <w:jc w:val="left"/>
        <w:rPr>
          <w:rFonts w:ascii="Times New Roman" w:hAnsi="Times New Roman"/>
          <w:b/>
          <w:i/>
          <w:sz w:val="20"/>
        </w:rPr>
      </w:pPr>
      <w:r>
        <w:rPr>
          <w:rFonts w:ascii="Times New Roman" w:hAnsi="Times New Roman"/>
          <w:b/>
          <w:i/>
          <w:sz w:val="20"/>
        </w:rPr>
        <w:t xml:space="preserve">Auxora for the Treatment of Acute Kidney Injury </w:t>
      </w:r>
    </w:p>
    <w:p>
      <w:pPr>
        <w:pStyle w:val="TextBody"/>
        <w:bidi w:val="0"/>
        <w:spacing w:before="120" w:after="0"/>
        <w:jc w:val="left"/>
        <w:rPr>
          <w:rFonts w:ascii="Times New Roman" w:hAnsi="Times New Roman"/>
          <w:sz w:val="20"/>
        </w:rPr>
      </w:pPr>
      <w:r>
        <w:rPr>
          <w:rFonts w:ascii="Times New Roman" w:hAnsi="Times New Roman"/>
          <w:sz w:val="20"/>
        </w:rPr>
        <w:t xml:space="preserve">There are recent examples in the scientific literature where CRAC channel inhibition was shown to reduce damage in animal models of AKI. We are currently conducting preclinical studies of Auxora in a rat model of AKI. Additionally, we have observed in our clinical trials that Auxora-treated patients appear to have less complications of kidney injury or failure in the setting of acute critical illness. We plan to use these observations and our preclinical results to submit an IND in this indication in the second half of 2023 and, if allowed, to be in a position to initiate a Phase 2 clinical trial in the first half of 2024, subject to receipt of additional funding.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Acute Kidney Injury Background </w:t>
      </w:r>
    </w:p>
    <w:p>
      <w:pPr>
        <w:pStyle w:val="TextBody"/>
        <w:bidi w:val="0"/>
        <w:spacing w:before="120" w:after="0"/>
        <w:jc w:val="left"/>
        <w:rPr>
          <w:rFonts w:ascii="Times New Roman" w:hAnsi="Times New Roman"/>
          <w:sz w:val="20"/>
        </w:rPr>
      </w:pPr>
      <w:r>
        <w:rPr>
          <w:rFonts w:ascii="Times New Roman" w:hAnsi="Times New Roman"/>
          <w:sz w:val="20"/>
        </w:rPr>
        <w:t xml:space="preserve">AKI is marked by three distinct phases, the initial injury, the recovery from that injury and then the long-term damage resulting from the initial injury. Patients who do not recover completely from the initial injury are at risk for long-term damage. We believe the administration of Auxora to patients with more severe AKI will result in a greater proportion of patients recovering completely from the initial injury, and in so doing, will lessen the long term complications of the initial injury. This is illustrated in the figure below. AKI is classified as Stage 1, Stage 2 and Stage 3 depending on the seriousness of the disease as measured by serum creatinine and urine output and may progress from one stage to the next as a patients condition worsens. Stage 1 patients have an increase in serum creatinine of ≥ 0.3 mg/dL or 1.5 to 1.9 times baseline or urine output of &lt;0.5 mL/kg/hour for 6 to 12 hours. Stage 2 patients have an increase in serum creatinine to 2.0 to 2.9 times baseline or urine output of &lt;0.5 mL/kg/hour for 12 to 24 hours. Stage 3 patients have an increase in serum creatinine to ≥ 3.0 times baseline, an increase in serum creatinine of ≥ 0.3 mg/dL to ≥ 4.0 mg/dL, urine output of &lt;0.3 mL/kg/ hour for ≥ 24 hours, anuria for ≥ 12 hours or initiation of kidney replacement therapy. </w:t>
      </w:r>
    </w:p>
    <w:p>
      <w:pPr>
        <w:pStyle w:val="TextBody"/>
        <w:bidi w:val="0"/>
        <w:spacing w:before="0" w:after="0"/>
        <w:jc w:val="left"/>
        <w:rPr/>
      </w:pPr>
      <w:r>
        <w:rPr/>
        <w:t> </w:t>
      </w:r>
    </w:p>
    <w:p>
      <w:pPr>
        <w:pStyle w:val="TextBody"/>
        <w:bidi w:val="0"/>
        <w:spacing w:before="0" w:after="0"/>
        <w:jc w:val="center"/>
        <w:rPr/>
      </w:pPr>
      <w:r>
        <w:rPr/>
        <w:drawing>
          <wp:inline distT="0" distB="0" distL="0" distR="0">
            <wp:extent cx="4524375" cy="23717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524375" cy="23717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Time course of acute kidney injury and progression to chronic kidney disease. </w:t>
      </w:r>
    </w:p>
    <w:p>
      <w:pPr>
        <w:pStyle w:val="TextBody"/>
        <w:bidi w:val="0"/>
        <w:spacing w:before="240" w:after="0"/>
        <w:jc w:val="left"/>
        <w:rPr>
          <w:rFonts w:ascii="Times New Roman" w:hAnsi="Times New Roman"/>
          <w:sz w:val="20"/>
        </w:rPr>
      </w:pPr>
      <w:r>
        <w:rPr>
          <w:rFonts w:ascii="Times New Roman" w:hAnsi="Times New Roman"/>
          <w:sz w:val="20"/>
        </w:rPr>
        <w:t xml:space="preserve">AKI is caused by a number of factors including infection, trauma and myocardial infarction. According to the Healthcare Cost and Utilization project, there are in the US more than 3.7 million patients hospitalized each year who have AKI. Of these, 71% have Stage 1, 17% have Stage 2 and 12% have Stage 3 so that Stage 2 and Stage 3 patients represent an incidence of over 1 million per year in the United States alone. Currently there are no drugs that directly treat AKI and standard of care includes fluids, diuretics, nutritional support, and correction of the underlying cause of the AKI. Patients who suffer AKI may over the course of months develop chronic kidney disease and may go into end-stage renal failure. The goal of treatment would include reducing the need for dialysis, kidney transplantation, long-term illness and death.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143500" cy="26193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143500" cy="2619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286375" cy="17907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286375" cy="17907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i/>
          <w:sz w:val="20"/>
        </w:rPr>
        <w:t>Early treatment with Auxora could offer significant benefits to AKI patients and prevent disease progression.</w:t>
      </w:r>
      <w:r>
        <w:rPr>
          <w:rFonts w:ascii="Times New Roman" w:hAnsi="Times New Roman"/>
          <w:sz w:val="20"/>
        </w:rPr>
        <w:t xml:space="preserv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Clinical Observations supporting the potential use of Auxora in AKI </w:t>
      </w:r>
    </w:p>
    <w:p>
      <w:pPr>
        <w:pStyle w:val="TextBody"/>
        <w:bidi w:val="0"/>
        <w:spacing w:before="120" w:after="0"/>
        <w:jc w:val="left"/>
        <w:rPr>
          <w:rFonts w:ascii="Times New Roman" w:hAnsi="Times New Roman"/>
          <w:sz w:val="20"/>
        </w:rPr>
      </w:pPr>
      <w:r>
        <w:rPr>
          <w:rFonts w:ascii="Times New Roman" w:hAnsi="Times New Roman"/>
          <w:sz w:val="20"/>
        </w:rPr>
        <w:t xml:space="preserve">While the purpose of CARDEA was to test Auxora in severe COVID-19 pneumonia patients, acute kidney injury was reported in a number of patients as it is a common sequalae of this disease. We observed ~40% reduction in the frequency of reported AKI in patients treated with Auxora compared with placebo patients. We further measured Angiopoietin-1 and Angiopoietin-2 levels in most of the patients in the trial as these are biomarkers for vascular endothelial cell function. Angiopoietin-1 levels correlate with the maintenance of vascular integrity while Angiopoietin-2 levels correlate with endothelial inflammation and malfunction. We observed that Angiopoietin-1 levels increased more in patients treated with Auxora compared to placebo while Angiopoietin-2 levels decreased more. These changes were statistically significant and suggest a potential application for Auxora in AKI where endothelial cell function is compromised. </w:t>
      </w:r>
    </w:p>
    <w:p>
      <w:pPr>
        <w:pStyle w:val="TextBody"/>
        <w:bidi w:val="0"/>
        <w:spacing w:before="0" w:after="0"/>
        <w:jc w:val="left"/>
        <w:rPr/>
      </w:pPr>
      <w:r>
        <w:rPr/>
        <w:t> </w:t>
      </w:r>
    </w:p>
    <w:p>
      <w:pPr>
        <w:pStyle w:val="TextBody"/>
        <w:bidi w:val="0"/>
        <w:spacing w:before="0" w:after="0"/>
        <w:jc w:val="center"/>
        <w:rPr/>
      </w:pPr>
      <w:r>
        <w:rPr/>
        <w:drawing>
          <wp:inline distT="0" distB="0" distL="0" distR="0">
            <wp:extent cx="5143500" cy="23622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143500" cy="2362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Angiopoietin-1 levels show a statistically significant greater increase in Auxora-treated patients compared to placebo patients while Angiopoietin-2 levels show a statistically greater decrease.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Preclinical Studies with Auxora in AKI </w:t>
      </w:r>
    </w:p>
    <w:p>
      <w:pPr>
        <w:pStyle w:val="TextBody"/>
        <w:bidi w:val="0"/>
        <w:spacing w:before="120" w:after="0"/>
        <w:jc w:val="left"/>
        <w:rPr>
          <w:rFonts w:ascii="Times New Roman" w:hAnsi="Times New Roman"/>
          <w:sz w:val="20"/>
        </w:rPr>
      </w:pPr>
      <w:r>
        <w:rPr>
          <w:rFonts w:ascii="Times New Roman" w:hAnsi="Times New Roman"/>
          <w:sz w:val="20"/>
        </w:rPr>
        <w:t xml:space="preserve">We are currently conducting preclinical studies of Auxora in an AKI model. In collaboration with an investigator at Indiana University, Auxora is being tested in a rat model of ischemia/reperfusion-induced AKI. This published model produces either unilateral or bilateral renal ischemia by applying small clamps to the major blood vessels of the kidney for a period of 30-40 minutes. After recovery, renal injury is measured by plasma creatinine levels or changes in glomerular filtration rate, and inflammation is measured by infiltration of mononuclear cells, particularly an inflammatory T cell called Th17, into the kidney. The renal injury and Th17 cell infiltration produced in this animal model was shown previously to be ameliorated by treatment with a research tool CRAC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channel inhibitor, and we are studying Auxora to determine its benefit in this model. We administered Auxora or placebo 30 minutes following the bilateral kidney ischemia/reperfusion, and animals were sacrificed at approximately 24 hours following treatment. Initial results from these rat studies have shown that the glomerular filtration rate in animals treated with Auxora is approximately 72% better at 24 hours than in animals treated with placebo (p=0.04) [see the figure below]. Additionally, a reduction in mononuclear cell infiltrates was seen in Auxora-treated animals post-sacrifice. </w:t>
      </w:r>
    </w:p>
    <w:p>
      <w:pPr>
        <w:pStyle w:val="TextBody"/>
        <w:bidi w:val="0"/>
        <w:spacing w:before="0" w:after="0"/>
        <w:jc w:val="left"/>
        <w:rPr/>
      </w:pPr>
      <w:r>
        <w:rPr/>
        <w:t> </w:t>
      </w:r>
    </w:p>
    <w:p>
      <w:pPr>
        <w:pStyle w:val="TextBody"/>
        <w:bidi w:val="0"/>
        <w:spacing w:before="0" w:after="0"/>
        <w:jc w:val="center"/>
        <w:rPr/>
      </w:pPr>
      <w:r>
        <w:rPr/>
        <w:drawing>
          <wp:inline distT="0" distB="0" distL="0" distR="0">
            <wp:extent cx="5067300" cy="2419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067300" cy="24193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i/>
          <w:sz w:val="20"/>
        </w:rPr>
        <w:t>Effects of Auxora treatment on GFR and mononuclear cell infiltration in the rat AKI model with ischemia/reperfusion injury. (N=16)</w:t>
      </w:r>
      <w:r>
        <w:rPr>
          <w:rFonts w:ascii="Times New Roman" w:hAnsi="Times New Roman"/>
          <w:sz w:val="20"/>
        </w:rPr>
        <w:t xml:space="preserv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Planned Clinical Trials with Auxora in AKI </w:t>
      </w:r>
    </w:p>
    <w:p>
      <w:pPr>
        <w:pStyle w:val="TextBody"/>
        <w:bidi w:val="0"/>
        <w:spacing w:before="120" w:after="0"/>
        <w:jc w:val="left"/>
        <w:rPr>
          <w:rFonts w:ascii="Times New Roman" w:hAnsi="Times New Roman"/>
          <w:sz w:val="20"/>
        </w:rPr>
      </w:pPr>
      <w:r>
        <w:rPr>
          <w:rFonts w:ascii="Times New Roman" w:hAnsi="Times New Roman"/>
          <w:sz w:val="20"/>
        </w:rPr>
        <w:t>In the second half of 2023, we plan to discuss our initial AKI clinical trial with the FDA in a pre-IND meeting, to submit an IND to be in the position to initiate a Phase 2 clinical trial in the first half of 2024, subject to receipt of additional funding. We anticipate patients in the trial program to be randomized to receive Auxora (at multiple dose levels) versus placebo for five days. Patients will be AKI Stage 2 or Stage 3 for &lt;48 hours. Patients will be monitored in the hospital until discharge. Endpoints are expected to include proportion of patients free of AKI at 30 days, major adverse kidney events (</w:t>
      </w:r>
      <w:r>
        <w:rPr>
          <w:rFonts w:ascii="Times New Roman" w:hAnsi="Times New Roman"/>
          <w:b/>
          <w:sz w:val="20"/>
        </w:rPr>
        <w:t>MAKE</w:t>
      </w:r>
      <w:r>
        <w:rPr>
          <w:rFonts w:ascii="Times New Roman" w:hAnsi="Times New Roman"/>
          <w:sz w:val="20"/>
        </w:rPr>
        <w:t xml:space="preserve">) at 90 days, and proteinuria levels at 90 days. Recent studies have shown that proteinuria levels at 90 days post-AKI are correlated with the probability of developing chronic kidney disease. </w:t>
      </w:r>
    </w:p>
    <w:p>
      <w:pPr>
        <w:pStyle w:val="TextBody"/>
        <w:bidi w:val="0"/>
        <w:spacing w:before="240" w:after="0"/>
        <w:jc w:val="left"/>
        <w:rPr>
          <w:rFonts w:ascii="Times New Roman" w:hAnsi="Times New Roman"/>
          <w:sz w:val="20"/>
        </w:rPr>
      </w:pPr>
      <w:r>
        <w:rPr>
          <w:rFonts w:ascii="Times New Roman" w:hAnsi="Times New Roman"/>
          <w:sz w:val="20"/>
        </w:rPr>
        <w:t xml:space="preserve">We believe there is a basis for which the FDA will allow us to initiate a Phase 2 trial of Auxora in AKI without having to conduct a Phase 1 trial due to the following factors: (i) two Phase 1 safety trials in healthy volunteers have already been conducted in accordance with FDA requirements, (ii) Auxora has already been tested in two Phase 2 trials in adult patients with AP, one Phase 1/2 trial of children with pancreatitis, and two trials in adults with severe COVID-19 pneumonia and significant safety data has been obtained about the doses of Auxora that will be used in the trials of AKI, (iii) Auxora is not eliminated from the body by the kidneys, but rather by the biliary system, so the doses that will be used in the trials of patients with AKI will not be different than those that have already been tested and (iv) patients with AKI have already been dosed with Auxora in the trials of adults with severe COVID-19 pneumonia and Auxora was well-tolerated in these patients. However, there can be no guarantee that the FDA will agree with our position and may require us to conduct a Phase 1 trial instead. </w:t>
      </w:r>
    </w:p>
    <w:p>
      <w:pPr>
        <w:pStyle w:val="TextBody"/>
        <w:bidi w:val="0"/>
        <w:spacing w:before="360" w:after="0"/>
        <w:jc w:val="left"/>
        <w:rPr>
          <w:rFonts w:ascii="Times New Roman" w:hAnsi="Times New Roman"/>
          <w:b/>
          <w:i/>
          <w:sz w:val="20"/>
        </w:rPr>
      </w:pPr>
      <w:r>
        <w:rPr>
          <w:rFonts w:ascii="Times New Roman" w:hAnsi="Times New Roman"/>
          <w:b/>
          <w:i/>
          <w:sz w:val="20"/>
        </w:rPr>
        <w:t xml:space="preserve">Auxora for the Treatment of Acute Respiratory Failure </w:t>
      </w:r>
    </w:p>
    <w:p>
      <w:pPr>
        <w:pStyle w:val="TextBody"/>
        <w:bidi w:val="0"/>
        <w:spacing w:before="120" w:after="0"/>
        <w:jc w:val="left"/>
        <w:rPr>
          <w:rFonts w:ascii="Times New Roman" w:hAnsi="Times New Roman"/>
          <w:sz w:val="20"/>
        </w:rPr>
      </w:pPr>
      <w:r>
        <w:rPr>
          <w:rFonts w:ascii="Times New Roman" w:hAnsi="Times New Roman"/>
          <w:sz w:val="20"/>
        </w:rPr>
        <w:t xml:space="preserve">The pathology of COVID-19 is consistent with both a significant increase in the levels of inflammatory cytokines and with the associated deterioration of lung barrier function that can culminate in ARDS. In the first quarter of 2020, we recognized that observations from our clinical trial of Auxora in patients with AP provided support for conducting a clinical trial to assess the potential of Auxora in severe COVID-19 pneumonia patients. In AP patients presenting with markedly elevated levels of IL-6, there was a significant reduction in IL-6 levels over the course of therapy in patients who were treated with Auxora versus SOC alone. Of the four AP patients enrolled in our Phase 2a clinical trial who presented with respiratory failure and were treated with Auxora, only one required intubation and mechanical ventilation. There was only one patient in the SOC control group with respiratory failure and this patient required intubation and mechanical ventilation. This preliminary data and the strong preclinical rationale both led us to propose that Auxora may have therapeutic benefit in the treatment of other diseases with respiratory failure, including severe COVID-19 pneumonia. </w:t>
      </w:r>
    </w:p>
    <w:p>
      <w:pPr>
        <w:pStyle w:val="TextBody"/>
        <w:bidi w:val="0"/>
        <w:spacing w:before="240" w:after="0"/>
        <w:jc w:val="left"/>
        <w:rPr>
          <w:rFonts w:ascii="Times New Roman" w:hAnsi="Times New Roman"/>
          <w:sz w:val="20"/>
        </w:rPr>
      </w:pPr>
      <w:r>
        <w:rPr>
          <w:rFonts w:ascii="Times New Roman" w:hAnsi="Times New Roman"/>
          <w:sz w:val="20"/>
        </w:rPr>
        <w:t xml:space="preserve">In April 2020, we initiated a clinical trial to test Auxora in COVID-19 patients hospitalized and requiring oxygen therapy but not on ventilators. This trial was initially conducted as a Phase 2 randomized, open-label clinical trial in severe COVID-19 pneumonia patients with varying degrees of respiratory failure where time to survival, blood oxygen levels, ventilator use and mortality were evaluated. At our first safety analysis of the data we observed that patients receiving Auxora with SOC were less likely to be placed on mechanical ventilation or to die, and they experienced a reduced time to recovery than those treated with SOC alone. After 30 patients were enrolled in this first part of the trial (Part 1), the FDA recommended that we move to Part 2 of the trial and study Auxora in a randomized, double-blind, placebo-controlled clinical trial. Part 2 was initiated in September 2020, completed in the third quarter of 2021, and enrolled 284 severe COVID-19 pneumonia patients. We observed that patients treated with Auxora experienced a reduced time to recovery, higher rate of recovery and reduced mortality.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COVID-19 and Acute Respiratory Failure Background </w:t>
      </w:r>
    </w:p>
    <w:p>
      <w:pPr>
        <w:pStyle w:val="TextBody"/>
        <w:bidi w:val="0"/>
        <w:spacing w:before="120" w:after="0"/>
        <w:jc w:val="left"/>
        <w:rPr>
          <w:rFonts w:ascii="Times New Roman" w:hAnsi="Times New Roman"/>
          <w:sz w:val="20"/>
        </w:rPr>
      </w:pPr>
      <w:r>
        <w:rPr>
          <w:rFonts w:ascii="Times New Roman" w:hAnsi="Times New Roman"/>
          <w:sz w:val="20"/>
        </w:rPr>
        <w:t xml:space="preserve">COVID-19 is a disease caused by the SARS-CoV-2 virus, a pandemic strain of coronavirus. Respiratory illness is the most common symptom associated with COVID-19; severity ranges from mild disease to life-threatening ARDS. </w:t>
      </w:r>
    </w:p>
    <w:p>
      <w:pPr>
        <w:pStyle w:val="TextBody"/>
        <w:bidi w:val="0"/>
        <w:spacing w:before="240" w:after="0"/>
        <w:jc w:val="left"/>
        <w:rPr>
          <w:rFonts w:ascii="Times New Roman" w:hAnsi="Times New Roman"/>
          <w:sz w:val="20"/>
        </w:rPr>
      </w:pPr>
      <w:r>
        <w:rPr>
          <w:rFonts w:ascii="Times New Roman" w:hAnsi="Times New Roman"/>
          <w:sz w:val="20"/>
        </w:rPr>
        <w:t xml:space="preserve">Most cases of COVID-19 occur approximately four to five days after exposure to the virus. Patients present with symptoms that include fever, dry cough, body ache, sore throat and diarrhea. As the disease progresses, some patients develop shortness of breath resulting from lung injury and are hospitalized. In the majority of these patients, this condition resolves over time, but in up to 20% of patients, it progresses to moderate to severe ARDS requiring mechanical ventilation.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Disease progression in severe COVID-19 has similarities to that of severe community-acquired pneumonia caused by other viruses besides SARS-CoV-2 or by bacteria. The immune response to severe COVID-19 infection may result in overproduction of early response proinflammatory cytokines and may also result in complement and coagulation dysfunction, leading to an increased risk of vascular hyperpermeability, respiratory failure, multi-organ failure, and sometimes death.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Completed Open-label Phase 2 Clinical Trial in Hospitalized COVID-19 Pneumonia Patients on Oxygen (Part 1). </w:t>
      </w:r>
    </w:p>
    <w:p>
      <w:pPr>
        <w:pStyle w:val="TextBody"/>
        <w:bidi w:val="0"/>
        <w:spacing w:before="120" w:after="0"/>
        <w:jc w:val="left"/>
        <w:rPr>
          <w:rFonts w:ascii="Times New Roman" w:hAnsi="Times New Roman"/>
          <w:sz w:val="20"/>
        </w:rPr>
      </w:pPr>
      <w:r>
        <w:rPr>
          <w:rFonts w:ascii="Times New Roman" w:hAnsi="Times New Roman"/>
          <w:sz w:val="20"/>
        </w:rPr>
        <w:t xml:space="preserve">We initially conducted a randomized, open-label clinical trial in severe and critical COVID-19 pneumonia patients (Part 1 of the Phase 2 trial). We originally planned to enroll up to 60 patients with severe COVID-19 pneumonia, defined as patients receiving low-flow supplemental oxygen, and 60 patients with critical COVID-19 pneumonia, defined as patients receiving high-flow oxygen through a nasal cannula but not ventilated using bi-level positive airway pressure, continuous positive airway pressure or invasive mechanical ventilators. Two thirds of patients were to be randomized to receive Auxora with SOC therapy and one third with SOC alone. The results from Part 1 of the trial were published in July 2020 in the peer-reviewed journal </w:t>
      </w:r>
      <w:r>
        <w:rPr>
          <w:rFonts w:ascii="Times New Roman" w:hAnsi="Times New Roman"/>
          <w:i/>
          <w:sz w:val="20"/>
        </w:rPr>
        <w:t>Critical Care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143500" cy="10953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143500" cy="10953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i/>
          <w:sz w:val="20"/>
        </w:rPr>
        <w:t>Trial design for open-label Phase 2 clinical trial in hospitalized COVID-19 severe pneumonia patients on oxygen (Part 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Patients enrolled in Part 1 of the Phase 2 clinical trial were randomized to the Auxora plus SOC treatment group, were dosed intravenously with Auxora for three days at levels of 2.0 mg/kg on the first day and 1.6 mg/ kg on days two and three. The primary objectives of this clinical trial were safety and tolerability. At the time this part of the clinical trial was stopped, 30 patients had been enrolled, 26 with severe COVID-19 pneumonia and four with critical COVID-19 pneumonia. </w:t>
      </w:r>
    </w:p>
    <w:p>
      <w:pPr>
        <w:pStyle w:val="TextBody"/>
        <w:bidi w:val="0"/>
        <w:spacing w:before="240" w:after="0"/>
        <w:jc w:val="left"/>
        <w:rPr>
          <w:rFonts w:ascii="Times New Roman" w:hAnsi="Times New Roman"/>
          <w:sz w:val="20"/>
        </w:rPr>
      </w:pPr>
      <w:r>
        <w:rPr>
          <w:rFonts w:ascii="Times New Roman" w:hAnsi="Times New Roman"/>
          <w:sz w:val="20"/>
        </w:rPr>
        <w:t xml:space="preserve">The 26 patients with severe COVID-19 pneumonia were used in the efficacy analysis of the open-label part of the clinical trial. Patients enrolled in the Auxora plus SOC and the SOC only groups were well-matched across age, body mass index and ethnic backgrounds. A higher percentage of patients in the Auxora plus SOC group had diabetes. The severity of ARDS was distributed roughly equally among the Auxora plus SOC and SOC only groups.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analysis of the efficacy of Auxora in the open-label trial, we also considered the respiratory failure status of patients at enrollment because we believed that this would best correlate with outcomes for these patients. Respiratory failure is divided into three stages based on the Horowitz index, which takes into account how much oxygen is in the blood compared to how much oxygen the patient is provided. The Horowitz index, therefore, is able to account for differences in oxygenation of a patient on room air versus one on higher concentrations of supplemental oxygen. This index is calculated by taking the ratio of the arterial oxygen partial pressure to the fraction of inspired oxygen, known as PaO2/FiO2 or the P/F ratio. The P/F ratio may also be imputed from the oxygen saturation by pulse oximetry. Based on the Berlin Criteria, patients with a P/F ratio of 200 to 300 mmHg are considered to have mild ARDS. Patients with P/F ratios between 100 and 200 mmHg are considered to have moderate disease. Patients with a P/F ratio of 100 mmHg or less have severe ARDS. Even in the absence of COVID-19, an increase in ARDS severity is correlated with increased mortality. In historical pneumonia studies, patients with mild ARDS have a mortality of approximately 35% compared to 45% mortality for those with severe ARDS. </w:t>
      </w:r>
    </w:p>
    <w:p>
      <w:pPr>
        <w:pStyle w:val="TextBody"/>
        <w:bidi w:val="0"/>
        <w:spacing w:before="0" w:after="0"/>
        <w:jc w:val="left"/>
        <w:rPr/>
      </w:pPr>
      <w:r>
        <w:rPr/>
        <w:t> </w:t>
      </w:r>
    </w:p>
    <w:p>
      <w:pPr>
        <w:pStyle w:val="TextBody"/>
        <w:bidi w:val="0"/>
        <w:spacing w:before="0" w:after="0"/>
        <w:jc w:val="center"/>
        <w:rPr/>
      </w:pPr>
      <w:r>
        <w:rPr/>
        <w:drawing>
          <wp:inline distT="0" distB="0" distL="0" distR="0">
            <wp:extent cx="5095875" cy="23050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095875" cy="23050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i/>
          <w:sz w:val="20"/>
        </w:rPr>
        <w:t>Baseline demographics were generally balanced across the treatment groups.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Clinical outcomes in Part 1 of the Phase 2 clinical trial were highly dependent on the baseline P/F ratio. Patients with mild ARDS all recovered in both the Auxora plus SOC treatment group and the SOC only treatment group. Regardless of treatment, none of these patients required intubation and mechanical ventilation. Patients with moderate ARDS treated with Auxora plus SOC had an improved outcome compared to SOC alone. Only one of six of the patients (17%) in the Auxora plus SOC group was placed on mechanical ventilation and later died, whereas three out of four patients (75%) in the SOC only treatment group required intubation and mechanical ventilation with one death. Of the four patients enrolled with severe ARDS and treated with Auxora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SOC, two required intubation and mechanical ventilation (50%) and one of these patients died (25%). In the SOC only group, one of two severe ARDS patients enrolled required intubation and mechanical ventilation (50%). The other patient progressed to high-flow oxygen quickly, but the family elected not to proceed with intubation and the patient died (50%). </w:t>
      </w:r>
    </w:p>
    <w:p>
      <w:pPr>
        <w:pStyle w:val="TextBody"/>
        <w:bidi w:val="0"/>
        <w:spacing w:before="0" w:after="0"/>
        <w:jc w:val="left"/>
        <w:rPr/>
      </w:pPr>
      <w:r>
        <w:rPr/>
        <w:t> </w:t>
      </w:r>
    </w:p>
    <w:p>
      <w:pPr>
        <w:pStyle w:val="TextBody"/>
        <w:bidi w:val="0"/>
        <w:spacing w:before="0" w:after="0"/>
        <w:jc w:val="center"/>
        <w:rPr/>
      </w:pPr>
      <w:r>
        <w:rPr/>
        <w:drawing>
          <wp:inline distT="0" distB="0" distL="0" distR="0">
            <wp:extent cx="4552950" cy="28479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4552950" cy="28479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i/>
          <w:sz w:val="20"/>
        </w:rPr>
        <w:t>Overview of the outcome of all 26 severe COVID-19 pneumonia patients grouped by P/F at baseline with the most severe patients at the bottom. Blue lines correspond to patient who received Auxora (denoted CM4620-IE) plus SOC and green lines to patients who received SOC only.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COVID-19 recovery was scored using an 8-point ordinal scale recommended by the FDA in which a high score of 8 means that the patient was discharged from the hospital without the need for supplemental oxygen, 7 means discharged requiring supplemental oxygen, 6 means hospitalized not requiring oxygen or ongoing medical care, 5 means hospitalized not requiring oxygen but requiring ongoing medical care, 4 means hospitalized requiring low flow supplemental oxygen, 3 means hospitalized requiring noninvasive mechanical ventilation or high flow supplemental oxygen, 2 means hospitalized requiring invasive mechanical ventilation and 1 means that the patient has died. </w:t>
      </w:r>
    </w:p>
    <w:p>
      <w:pPr>
        <w:pStyle w:val="TextBody"/>
        <w:bidi w:val="0"/>
        <w:spacing w:before="240" w:after="0"/>
        <w:jc w:val="left"/>
        <w:rPr>
          <w:rFonts w:ascii="Times New Roman" w:hAnsi="Times New Roman"/>
          <w:sz w:val="20"/>
        </w:rPr>
      </w:pPr>
      <w:r>
        <w:rPr>
          <w:rFonts w:ascii="Times New Roman" w:hAnsi="Times New Roman"/>
          <w:sz w:val="20"/>
        </w:rPr>
        <w:t>The number of days for recovery was determined by the first day that a patient satisfied a score of 6 or greater. Patients treated with Auxora plus SOC had a mean time to recovery of five days while those on SOC-only treatment had a mean recovery time of 12 days and the recovery rate ratio was 1.87 (95% confidence interval, with a range of 0.72 to 4.89). For additional information regarding confidence intervals, please refer to the section entitled </w:t>
      </w:r>
      <w:r>
        <w:rPr>
          <w:rFonts w:ascii="Times New Roman" w:hAnsi="Times New Roman"/>
          <w:i/>
          <w:sz w:val="20"/>
        </w:rPr>
        <w:t>Auxora, a Selective CRAC Channel InhibitorP-Values and Confidence Intervals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composite endpoint of death or intubation occurred significantly less frequently in patients treated with Auxora plus SOC than with SOC only treatment. Five of the nine patients (56%) with severe COVID-19 pneumonia who were treated only with SOC required intubation and mechanical ventilation or died compared to only three of 17 patients who received Auxora plus SOC (18%) (95% CI, 0.05 to 0.96; p&lt;0.05). </w:t>
      </w:r>
    </w:p>
    <w:p>
      <w:pPr>
        <w:pStyle w:val="TextBody"/>
        <w:bidi w:val="0"/>
        <w:spacing w:before="0" w:after="0"/>
        <w:jc w:val="left"/>
        <w:rPr/>
      </w:pPr>
      <w:r>
        <w:rPr/>
        <w:t> </w:t>
      </w:r>
    </w:p>
    <w:p>
      <w:pPr>
        <w:pStyle w:val="TextBody"/>
        <w:bidi w:val="0"/>
        <w:spacing w:before="0" w:after="0"/>
        <w:jc w:val="center"/>
        <w:rPr/>
      </w:pPr>
      <w:r>
        <w:rPr/>
        <w:drawing>
          <wp:inline distT="0" distB="0" distL="0" distR="0">
            <wp:extent cx="3200400" cy="24669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200400" cy="24669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i/>
          <w:sz w:val="20"/>
        </w:rPr>
        <w:t>Treatment with Auxora led to a reduction in the composite endpoint of patients who required intubation or died because of a do not intubate decision.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clinical outcome measures of the severe COVID-19 pneumonia patients, we assessed the levels of d-dimer, a biomarker associated with clotting and a predictor of poor survival in COVID-19 patients. Increased blood clotting and thrombosis is believed to be a significant contributor to the development of ARDS in these patients. All patients in the trial received anticoagulant therapy, and despite this treatment, two patients on SOC only developed deep vein thromboses with one progressing to a pulmonary embolism, while no patients treated with Auxora plus SOC experienced thrombo- embolic events. On average, patients treated with Auxora plus SOC (n=10) had a median decrease in d-dimer levels at 48 hours of 0.24 while patients receiving SOC alone (n=8) had a median increase of 0.63. Even greater differences were seen at 96 hours although the sample size was small. We believe this is indicative of a protective effect of Auxora treatment on the endothelium.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4505325" cy="20383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4505325" cy="20383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i/>
          <w:sz w:val="20"/>
        </w:rPr>
        <w:t>Auxora treated patients experienced a reduction in d-dimer levels, a biomarker associated with clotting.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total, 17 patients with severe and three with critical COVID-19 pneumonia were randomized to Auxora plus SOC and nine with severe and one with critical COVID-19 pneumonia were randomized to SOC only. All 30 patients were included in the safety analysis. Similar proportions of patients receiving Auxora plus SOC and SOC only experienced an AE (75% versus 80%, respectively). Fewer patients receiving Auxora plus SOC experienced serious AEs versus SOC only (30% versus 50%, respectively). Two patients (10%) receiving Auxora plus SOC and two (20%) receiving SOC only died during the 30 days after randomization. Except for one of the two cases of an increase in blood alkaline phosphatase (an enzyme that can indicate liver damage and bone disorders), which was considered possibly Auxora-related, none of the other AEs were deemed to be drug- related by the principal investigators.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SAEs occurred in patients treated with Auxora: septic shock, bacterial pneumonia, atrial fibrillation, shock, respiratory failure, ARDS and chest pain. None of the SAEs were deemed to be Auxora- related by the principal investigators. </w:t>
      </w:r>
    </w:p>
    <w:p>
      <w:pPr>
        <w:pStyle w:val="TextBody"/>
        <w:bidi w:val="0"/>
        <w:spacing w:before="240" w:after="0"/>
        <w:jc w:val="left"/>
        <w:rPr>
          <w:rFonts w:ascii="Times New Roman" w:hAnsi="Times New Roman"/>
          <w:sz w:val="20"/>
        </w:rPr>
      </w:pPr>
      <w:r>
        <w:rPr>
          <w:rFonts w:ascii="Times New Roman" w:hAnsi="Times New Roman"/>
          <w:sz w:val="20"/>
        </w:rPr>
        <w:t xml:space="preserve">After 18 severe COVID-19 pneumonia patients were enrolled, the FDA reviewed initial data along with safety data from an independent safety review committee and recommended that this open- label trial be converted into a randomized, double-blind, placebo-controlled trial (Part 2 of the Phase 2 trial).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Completed Double-Blind Phase 2 Clinical Trial in Hospitalized COVID-19 severe Pneumonia Patients on Oxygen (CARDEA or Part 2)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we began enrollment of our CARDEA trial, a Phase 2, randomized, double-blind, placebo- controlled trial evaluating the addition of Auxora to corticosteroids and standard of care in adults with severe COVID-19 pneumonia. Eligible patients were adults with more than one symptom consistent with COVID-19 infection, a diagnosis of COVID-19 confirmed by laboratory testing using polymerase chain reaction or other assay, and pneumonia documented by chest imaging. Patients were also required to be receiving oxygen therapy using either a high flow or low flow nasal cannula at the time of enrollment and, for the 261 patients in the efficacy analysis set, to have at the time of enrollment, a baseline imputed PaO2/FiO2 ratio &gt; 75 and ≤ 200. </w:t>
      </w:r>
    </w:p>
    <w:p>
      <w:pPr>
        <w:pStyle w:val="TextBody"/>
        <w:bidi w:val="0"/>
        <w:spacing w:before="240" w:after="0"/>
        <w:jc w:val="left"/>
        <w:rPr>
          <w:rFonts w:ascii="Times New Roman" w:hAnsi="Times New Roman"/>
          <w:sz w:val="20"/>
        </w:rPr>
      </w:pPr>
      <w:r>
        <w:rPr>
          <w:rFonts w:ascii="Times New Roman" w:hAnsi="Times New Roman"/>
          <w:sz w:val="20"/>
        </w:rPr>
        <w:t xml:space="preserve">There were an additional 23 patients in the trial with 200&lt;PaO2/FiO2&lt;300 who were enrolled prior to the first independent data monitoring committee meeting, where it was determined those less hypoxemic patients all recovered and were less likely to need therapy beyond current standard of care so going forward, mild ARDS patients, e.g. patients with PaO2/FiO2&gt;200, were then excluded from enrollment. The PaO2/FiO2 was imputed from a SpO2/FiO2 determined by pulse oximetry using a non-linear equation. Patients could not be receiving either non-invasive or invasive mechanical ventilation at the time of enrolment. The primary endpoint was time to recovery through Day 60, with secondary endpoints of all-cause mortality at Day 30 and Day 60. All patients received corticosteroids and 99% of patients received anticoagulation treatment as part of their standard of care.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The major findings of the CARDEA Phase 2 trial as reported in April 2022 in the peer-reviewed journal </w:t>
      </w:r>
      <w:r>
        <w:rPr>
          <w:rFonts w:ascii="Times New Roman" w:hAnsi="Times New Roman"/>
          <w:i/>
          <w:sz w:val="20"/>
        </w:rPr>
        <w:t xml:space="preserve">Critical Care </w:t>
      </w:r>
      <w:r>
        <w:rPr>
          <w:rFonts w:ascii="Times New Roman" w:hAnsi="Times New Roman"/>
          <w:sz w:val="20"/>
        </w:rPr>
        <w:t xml:space="preserve">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 to recovery was seven vs. ten days (P = 0.0979) for patients who received Auxora vs. placebo,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Day 30 all-cause mortality was 7.7% with Auxora vs. 17.6%, with placebo (P = 0.0165).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Day 60 all-cause mortality was 13.8% with Auxora vs. 20.6% with placebo (P = 0.1449).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Serious adverse events occurred in 24.1% of patients treated with Auxora vs. 35% of patients receiving Placebo (P=0.0616).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4972050" cy="11620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4972050" cy="1162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SOC included 100% corticosteroid use and 99% anticoagulation use </w:t>
      </w:r>
    </w:p>
    <w:p>
      <w:pPr>
        <w:pStyle w:val="TextBody"/>
        <w:bidi w:val="0"/>
        <w:spacing w:before="120" w:after="0"/>
        <w:jc w:val="left"/>
        <w:rPr>
          <w:rFonts w:ascii="Times New Roman" w:hAnsi="Times New Roman"/>
          <w:i/>
          <w:sz w:val="20"/>
        </w:rPr>
      </w:pPr>
      <w:r>
        <w:rPr>
          <w:rFonts w:ascii="Times New Roman" w:hAnsi="Times New Roman"/>
          <w:i/>
          <w:sz w:val="20"/>
        </w:rPr>
        <w:t xml:space="preserve">Trial design for double-blind Phase 2 clinical trial in hospitalized COVID-19 pneumonia patients on oxygen (Part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4438650" cy="2047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4438650" cy="20478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Baseline demographics were balanced across the treatment groups in the blinded Phase 2 trial of Auxora in severe COVID-19 pneumonia. </w:t>
      </w:r>
    </w:p>
    <w:p>
      <w:pPr>
        <w:pStyle w:val="TextBody"/>
        <w:bidi w:val="0"/>
        <w:spacing w:before="240" w:after="0"/>
        <w:jc w:val="left"/>
        <w:rPr>
          <w:rFonts w:ascii="Times New Roman" w:hAnsi="Times New Roman"/>
          <w:sz w:val="20"/>
        </w:rPr>
      </w:pPr>
      <w:r>
        <w:rPr>
          <w:rFonts w:ascii="Times New Roman" w:hAnsi="Times New Roman"/>
          <w:sz w:val="20"/>
        </w:rPr>
        <w:t xml:space="preserve">Overall mortality was significantly reduced with Auxora treatment in the 261-patient efficacy dataset. At 30 days, the mortality rate for Auxora-treated patients with 7.7% compared to 17.6% for placebo (HR 0.42 and p=0.023)  a relative decrease of 56%. At 60 days, Auxora treatment was associated with a 13.8% mortality rate compared to 20.6% for placebo (HR 0.63 and p=0.130)  a relative decrease of 33%. Both of these findings are clinically relevant particularly in light of patients needing additional therapies on top of current standard of care. Patients treated with Auxora plus SOC demonstrated a trend toward a faster median time to recovery than those treated with SOC plus placebo. Our primary recovery endpoint was determined in the 261-patient efficacy analysis set where Auxora treatment demonstrated a trend toward a reduced time to recovery with a median of seven days compared to ten days with placebo (p=0.098). In an FDA-required supplementary analysis of our primary endpoint in the 284 patient safety analysis set (which included 23 patients with mild COVID-19 pneumonia (P/F 201 to 300)), the median recovery time for Auxora treated patients was maintained at seven days, while the median recovery time for placebo treated patients decreased to eight days (p=0.042). In both analysis sets, the percent of patients that recovered in the trial was higher when Auxora was added to SOC therapy. The recovery rate ratio, defined as the percent of patients who did not recover on placebo compared to the percent that did not recover with Auxora, was 1.25 for the efficacy analysis set and 1.30 for the safety analysis set. This means that not only did patients treated with Auxora plus SOC demonstrate a trend toward a reduced time to recovery, but that they were more likely to recover than patients treated with placebo plus SOC. </w:t>
      </w:r>
    </w:p>
    <w:p>
      <w:pPr>
        <w:pStyle w:val="TextBody"/>
        <w:bidi w:val="0"/>
        <w:spacing w:before="240" w:after="0"/>
        <w:jc w:val="left"/>
        <w:rPr>
          <w:rFonts w:ascii="Times New Roman" w:hAnsi="Times New Roman"/>
          <w:sz w:val="20"/>
        </w:rPr>
      </w:pPr>
      <w:r>
        <w:rPr>
          <w:rFonts w:ascii="Times New Roman" w:hAnsi="Times New Roman"/>
          <w:sz w:val="20"/>
        </w:rPr>
        <w:t xml:space="preserve">Other key findings in the study were that patients receiving Auxora saw their PaO2/FiO2 ratios recover more quickly than patients receiving placebo and proportionally fewer patients receiving Auxora required ventilation over their course of treatment than patients receiving placebo. There were also fewer patients with reported serious adverse events in the Auxora treated group than in those receiving placebo. These findings are all clinically relevant, particularly given the relative risk reduction in mortality for patients receiving Auxora in addition to standard of care. Finally, there were improvements in a number of inflammatory biomarkers in Auxora treated patients versus those receiving placebo. Specifically, C-reactive protein, ferritin and d-dimer levels dropped over the course of six days and were lower than placebo over that time. CD-25 levels, which are a surrogate for the expansion of pro-inflammatory CD25+CD8 T cells that have been associated with mortality, were statistically significantly lower in Auxora patients compared to placebo. </w:t>
      </w:r>
    </w:p>
    <w:p>
      <w:pPr>
        <w:pStyle w:val="TextBody"/>
        <w:bidi w:val="0"/>
        <w:spacing w:before="0" w:after="0"/>
        <w:jc w:val="left"/>
        <w:rPr/>
      </w:pPr>
      <w:r>
        <w:rPr/>
        <w:t> </w:t>
      </w:r>
    </w:p>
    <w:p>
      <w:pPr>
        <w:pStyle w:val="TextBody"/>
        <w:bidi w:val="0"/>
        <w:spacing w:before="0" w:after="0"/>
        <w:jc w:val="center"/>
        <w:rPr/>
      </w:pPr>
      <w:r>
        <w:rPr/>
        <w:drawing>
          <wp:inline distT="0" distB="0" distL="0" distR="0">
            <wp:extent cx="4962525" cy="20288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4962525" cy="20288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Auxora positive effects compared to placebo on multiple clinical endpoints in CARDEA (N=261)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143500" cy="26479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143500" cy="26479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Auxora positive effects compared to placebo on multiple biomarkers of respiratory inflammation in CARDEA (N=261) </w:t>
      </w:r>
    </w:p>
    <w:p>
      <w:pPr>
        <w:pStyle w:val="TextBody"/>
        <w:bidi w:val="0"/>
        <w:spacing w:before="0" w:after="0"/>
        <w:jc w:val="left"/>
        <w:rPr/>
      </w:pPr>
      <w:r>
        <w:rPr/>
        <w:t> </w:t>
      </w:r>
    </w:p>
    <w:p>
      <w:pPr>
        <w:pStyle w:val="TextBody"/>
        <w:bidi w:val="0"/>
        <w:spacing w:before="0" w:after="0"/>
        <w:jc w:val="center"/>
        <w:rPr/>
      </w:pPr>
      <w:r>
        <w:rPr/>
        <w:drawing>
          <wp:inline distT="0" distB="0" distL="0" distR="0">
            <wp:extent cx="3733800" cy="19335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733800" cy="19335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Auxora plus SOC demonstrated a significant decrease in mortality compared to placebo plus SOC. (N=261) </w:t>
      </w:r>
    </w:p>
    <w:p>
      <w:pPr>
        <w:pStyle w:val="TextBody"/>
        <w:bidi w:val="0"/>
        <w:spacing w:before="0" w:after="0"/>
        <w:jc w:val="left"/>
        <w:rPr/>
      </w:pPr>
      <w:r>
        <w:rPr/>
        <w:t> </w:t>
      </w:r>
    </w:p>
    <w:p>
      <w:pPr>
        <w:pStyle w:val="TextBody"/>
        <w:bidi w:val="0"/>
        <w:spacing w:before="0" w:after="0"/>
        <w:jc w:val="center"/>
        <w:rPr/>
      </w:pPr>
      <w:r>
        <w:rPr/>
        <w:drawing>
          <wp:inline distT="0" distB="0" distL="0" distR="0">
            <wp:extent cx="3943350" cy="23622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3943350" cy="2362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Kaplan Meier curve of mortality. Auxora plus SOC (blue), placebo plus SOC (red). (N=261) </w:t>
      </w:r>
    </w:p>
    <w:p>
      <w:pPr>
        <w:pStyle w:val="TextBody"/>
        <w:bidi w:val="0"/>
        <w:spacing w:before="240" w:after="0"/>
        <w:jc w:val="left"/>
        <w:rPr>
          <w:rFonts w:ascii="Times New Roman" w:hAnsi="Times New Roman"/>
          <w:sz w:val="20"/>
        </w:rPr>
      </w:pPr>
      <w:r>
        <w:rPr>
          <w:rFonts w:ascii="Times New Roman" w:hAnsi="Times New Roman"/>
          <w:sz w:val="20"/>
        </w:rPr>
        <w:t xml:space="preserve">Auxora was generally well-tolerated in our CARDEA trial. The number of adverse events in the blinded part of the study was similar between the two treatment groups (patients randomized to Auxora (331); patients randomized to placebo (342)). Fewer patients randomized to Auxora (34, 24.1%) had SAEs compared to patients randomized to Placebo (49, 35.0%). There were five SAEs that the investigators reported as possibly related to Auxora: increase in alanine aminotransferase (an indicator of liver dysfunction), increase in aspartate aminotransferase (an indicator of liver dysfunction), cardiac arrest, respiratory failure and shock. Two of these (increase in alanine aminotransferase and increase in aspartate aminotransferase) occurred in only two patients. There were no SAEs that required expedited safety reporting to institutional review boards or to the FDA. Three patients randomized to Auxora and five patients randomized to placebo discontinued study drug. </w:t>
      </w:r>
    </w:p>
    <w:p>
      <w:pPr>
        <w:pStyle w:val="TextBody"/>
        <w:bidi w:val="0"/>
        <w:spacing w:before="360" w:after="0"/>
        <w:jc w:val="left"/>
        <w:rPr>
          <w:rFonts w:ascii="Times New Roman" w:hAnsi="Times New Roman"/>
          <w:sz w:val="20"/>
        </w:rPr>
      </w:pPr>
      <w:r>
        <w:rPr>
          <w:rFonts w:ascii="Times New Roman" w:hAnsi="Times New Roman"/>
          <w:sz w:val="20"/>
          <w:u w:val="single"/>
        </w:rPr>
        <w:t>Ongoing Phase 2 Trial in Mechanically Ventilated COVID-19 Pneumonia ARDS Patients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Work at Northwestern University has focused on immune cell activity in the lung fluid of COVID-19 pneumonia patients on mechanical ventilation implicates IFN-</w:t>
      </w:r>
      <w:r>
        <w:rPr>
          <w:rFonts w:ascii="SYMBOL" w:hAnsi="SYMBOL"/>
          <w:sz w:val="20"/>
        </w:rPr>
        <w:t>g</w:t>
      </w:r>
      <w:r>
        <w:rPr>
          <w:rFonts w:ascii="Times New Roman" w:hAnsi="Times New Roman"/>
          <w:sz w:val="20"/>
        </w:rPr>
        <w:t xml:space="preserve">-secreting T cells as key participants in the cascade of lung damage in these patients. Evidence suggests CRAC channels are a critical nexus in this cascade.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According to the data from Northwestern scientists, the mechanism of lung inflammation produced by SARS-CoV-2 begins with virus infection of cells in the nose, throat and upper lung. Viral infection then spreads to deeper areas of the lung and enters lung-resident macrophages which, in response, degrade viral proteins and present viral antigens on their cell surface to T cells; they also release chemokines that attract additional T cells to the area. The arriving T cells interact with the SARS-CoV-2 antigens presented on the surface of macrophages, activating the T cells to produce and secrete the pro-inflammatory cytokine IFN</w:t>
      </w:r>
      <w:r>
        <w:rPr>
          <w:rFonts w:ascii="SYMBOL" w:hAnsi="SYMBOL"/>
          <w:sz w:val="20"/>
        </w:rPr>
        <w:t>g</w:t>
      </w:r>
      <w:r>
        <w:rPr>
          <w:rFonts w:ascii="Times New Roman" w:hAnsi="Times New Roman"/>
          <w:sz w:val="20"/>
        </w:rPr>
        <w:t>. This sets up a positive feedback loop that leads to further immune recruitment, activation and inflammation. Based on the role of CRAC channels in immune cell activation, Auxora can block IFN</w:t>
      </w:r>
      <w:r>
        <w:rPr>
          <w:rFonts w:ascii="SYMBOL" w:hAnsi="SYMBOL"/>
          <w:sz w:val="20"/>
        </w:rPr>
        <w:t>g</w:t>
      </w:r>
      <w:r>
        <w:rPr>
          <w:rFonts w:ascii="Times New Roman" w:hAnsi="Times New Roman"/>
          <w:sz w:val="20"/>
        </w:rPr>
        <w:t xml:space="preserve"> release from T cells, potentially inhibit antigen presentation by macrophages, and block the release of chemokines and pro-inflammatory cytokines from monocytes, thereby limiting the lung inflammation produced by SARS-CoV-2. </w:t>
      </w:r>
    </w:p>
    <w:p>
      <w:pPr>
        <w:pStyle w:val="TextBody"/>
        <w:bidi w:val="0"/>
        <w:spacing w:before="0" w:after="0"/>
        <w:jc w:val="left"/>
        <w:rPr/>
      </w:pPr>
      <w:r>
        <w:rPr/>
        <w:t> </w:t>
      </w:r>
    </w:p>
    <w:p>
      <w:pPr>
        <w:pStyle w:val="TextBody"/>
        <w:bidi w:val="0"/>
        <w:spacing w:before="0" w:after="0"/>
        <w:jc w:val="center"/>
        <w:rPr/>
      </w:pPr>
      <w:r>
        <w:rPr/>
        <w:drawing>
          <wp:inline distT="0" distB="0" distL="0" distR="0">
            <wp:extent cx="3933825" cy="18764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3933825" cy="18764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i/>
          <w:sz w:val="20"/>
        </w:rPr>
        <w:t>Inhibition of IFN</w:t>
      </w:r>
      <w:r>
        <w:rPr>
          <w:rFonts w:ascii="SYMBOL" w:hAnsi="SYMBOL"/>
          <w:sz w:val="20"/>
        </w:rPr>
        <w:t>g</w:t>
      </w:r>
      <w:r>
        <w:rPr>
          <w:rFonts w:ascii="Times New Roman" w:hAnsi="Times New Roman"/>
          <w:sz w:val="20"/>
        </w:rPr>
        <w:t xml:space="preserve"> </w:t>
      </w:r>
      <w:r>
        <w:rPr>
          <w:rFonts w:ascii="Times New Roman" w:hAnsi="Times New Roman"/>
          <w:i/>
          <w:sz w:val="20"/>
        </w:rPr>
        <w:t>secretion in the lung of COVID-19 patients has the potential to block activation of inflammatory cells such as alveolar macrophages.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in collaboration with investigators at Northwestern, are conducting a Phase 2 dose escalation clinical trial of Auxora in mechanically ventilated patients with COVID-19 pneumonia to test this hypothesis and to determine an effective dose of Auxora for treating these patients using pharmacodynamic markers from bronchoalveolar lavage (lung) fluid. This trial has completed the treatment portion and samples from the patients are being analyzed for gene expression and biomarker information. Nine patients received either Auxora (n=7) or placebo (n=2) for three, four or five days or an initial infusion followed by four days of continuous infusion. The amount of time that patients remain on the ventilator was measured as part of the trial. Lung lavages were taken before and after treatment to determine the level and activity of macrophages, monocytes and IFN</w:t>
      </w:r>
      <w:r>
        <w:rPr>
          <w:rFonts w:ascii="SYMBOL" w:hAnsi="SYMBOL"/>
          <w:sz w:val="20"/>
        </w:rPr>
        <w:t>g</w:t>
      </w:r>
      <w:r>
        <w:rPr>
          <w:rFonts w:ascii="Times New Roman" w:hAnsi="Times New Roman"/>
          <w:sz w:val="20"/>
        </w:rPr>
        <w:t xml:space="preserve">-secreting T cells in patients receiving drug and placebo. We anticipate results from this trial will be published in the second half of 2023. We plan to use the findings of this clinical trial to establish an effective dosing schedule for further studies of Auxora in the treatment of ventilated ARDS patients. </w:t>
      </w:r>
    </w:p>
    <w:p>
      <w:pPr>
        <w:pStyle w:val="TextBody"/>
        <w:bidi w:val="0"/>
        <w:spacing w:before="0" w:after="0"/>
        <w:jc w:val="left"/>
        <w:rPr/>
      </w:pPr>
      <w:r>
        <w:rPr/>
        <w:t> </w:t>
      </w:r>
    </w:p>
    <w:p>
      <w:pPr>
        <w:pStyle w:val="TextBody"/>
        <w:bidi w:val="0"/>
        <w:spacing w:before="0" w:after="0"/>
        <w:jc w:val="center"/>
        <w:rPr/>
      </w:pPr>
      <w:r>
        <w:rPr/>
        <w:drawing>
          <wp:inline distT="0" distB="0" distL="0" distR="0">
            <wp:extent cx="5143500" cy="16002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5143500" cy="1600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Trial design for Phase 2 trial in mechanically ventilated COVID-19 pneumonia ARDS patients.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Planning for Additional Clinical Trials in AHRF and ARDS </w:t>
      </w:r>
    </w:p>
    <w:p>
      <w:pPr>
        <w:pStyle w:val="TextBody"/>
        <w:bidi w:val="0"/>
        <w:spacing w:before="120" w:after="0"/>
        <w:jc w:val="left"/>
        <w:rPr>
          <w:rFonts w:ascii="Times New Roman" w:hAnsi="Times New Roman"/>
          <w:sz w:val="20"/>
        </w:rPr>
      </w:pPr>
      <w:r>
        <w:rPr>
          <w:rFonts w:ascii="Times New Roman" w:hAnsi="Times New Roman"/>
          <w:sz w:val="20"/>
        </w:rPr>
        <w:t xml:space="preserve">Based on the mechanism of action of Auxora and the reduction in ventilator use that was observed in our COVID-19 pneumonia and AP clinical trials, we believe that Auxora has the potential to bring therapeutic benefit to a broader population of patients suffering from AHRF and ARDS. Our recent work elucidating the activity of Auxora in an LPS-induced mouse model of respiratory failure confirmed that the drug down- regulates inflammatory cytokines in the lungs and likely protects the lung endothelium from damage. </w:t>
      </w:r>
    </w:p>
    <w:p>
      <w:pPr>
        <w:pStyle w:val="TextBody"/>
        <w:bidi w:val="0"/>
        <w:spacing w:before="240" w:after="0"/>
        <w:jc w:val="left"/>
        <w:rPr>
          <w:rFonts w:ascii="Times New Roman" w:hAnsi="Times New Roman"/>
          <w:sz w:val="20"/>
        </w:rPr>
      </w:pPr>
      <w:r>
        <w:rPr>
          <w:rFonts w:ascii="Times New Roman" w:hAnsi="Times New Roman"/>
          <w:sz w:val="20"/>
        </w:rPr>
        <w:t xml:space="preserve">The broader ARDS patient populations include many etiologies including sepsis, viral pneumonia, bacterial pneumonia and trauma. The incidence of ARDS is estimated to be approximately 190,000 cases per year in the United States alone, with sepsis being the most common cause. We believe that the Auxora clinical data in COVID-19 pneumonia suggests that Auxora can potentially be used in most ARDS settings. We are currently evaluating opportunities to continue clinical development of Auxora in the setting of acute respiratory failure particularly in partnership with sponsors such as government agencies both in the US and outside of the US. </w:t>
      </w:r>
    </w:p>
    <w:p>
      <w:pPr>
        <w:pStyle w:val="TextBody"/>
        <w:bidi w:val="0"/>
        <w:spacing w:before="360" w:after="0"/>
        <w:jc w:val="left"/>
        <w:rPr>
          <w:rFonts w:ascii="Times New Roman" w:hAnsi="Times New Roman"/>
          <w:sz w:val="20"/>
        </w:rPr>
      </w:pPr>
      <w:r>
        <w:rPr>
          <w:rFonts w:ascii="Times New Roman" w:hAnsi="Times New Roman"/>
          <w:sz w:val="20"/>
          <w:u w:val="single"/>
        </w:rPr>
        <w:t>Preclinical Studies with Auxora in 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Endothelial cells in the lung help to maintain the boundary between blood vessels and air-exchange sacs, or alveoli, by providing an insulating barrier function, preventing fluid from leaking out of blood vessels while allowing the exchange of oxygen and carbon dioxide within the lung alveoli. The integrity of this endothelial barrier is dependent on many things, including calcium regulation. The endothelial barrier breaks down when an excess of intracellular calcium causes the activation of NFAT, driving deleterious changes in gene transcription. This breakdown leads to fluid leakage into the lung and impedes the lungs ability to absorb oxygen and release carbon dioxide. CRAC channels, which help regulate the amount of calcium flowing into endothelial cells, sit at a key junction point in this biochemical cascade. Zegocractin, the active ingredient in Auxora, was able to produce a beneficial effect in the lung consistent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inhibiting the breakdown in endothelial barrier function in an </w:t>
      </w:r>
      <w:r>
        <w:rPr>
          <w:rFonts w:ascii="Times New Roman" w:hAnsi="Times New Roman"/>
          <w:i/>
          <w:sz w:val="20"/>
        </w:rPr>
        <w:t xml:space="preserve">in vivo </w:t>
      </w:r>
      <w:r>
        <w:rPr>
          <w:rFonts w:ascii="Times New Roman" w:hAnsi="Times New Roman"/>
          <w:sz w:val="20"/>
        </w:rPr>
        <w:t>model of pathogen-induced lung injury. In this model, a bacterial glycoprotein called LPS was instilled into the nasopharynx of mice, which induced a reaction inside the lung similar to what would happen in acute lung injury resulting from an active bacterial infection. Zegocractin was administered two and seven hours after LPS and the animals were examined 12 hours after LPS by measuring several biomarkers in lung fluid using antibody technology as well as lung histopathology. A prominent and well known effect of LPS in this model was to increase levels of two key inflammatory cytokines, IL-6 and TNF</w:t>
      </w:r>
      <w:r>
        <w:rPr>
          <w:rFonts w:ascii="SYMBOL" w:hAnsi="SYMBOL"/>
          <w:sz w:val="20"/>
        </w:rPr>
        <w:t>µ</w:t>
      </w:r>
      <w:r>
        <w:rPr>
          <w:rFonts w:ascii="Times New Roman" w:hAnsi="Times New Roman"/>
          <w:sz w:val="20"/>
        </w:rPr>
        <w:t>, in lung fluid. Treatment with zegocractin led to a dose-dependent decrease in the LPS-induced IL-6 and TNF</w:t>
      </w:r>
      <w:r>
        <w:rPr>
          <w:rFonts w:ascii="SYMBOL" w:hAnsi="SYMBOL"/>
          <w:sz w:val="20"/>
        </w:rPr>
        <w:t>µ</w:t>
      </w:r>
      <w:r>
        <w:rPr>
          <w:rFonts w:ascii="Times New Roman" w:hAnsi="Times New Roman"/>
          <w:sz w:val="20"/>
        </w:rPr>
        <w:t xml:space="preserve"> levels (maximum 46% and 57%, respectively) in lung fluid and also decreased the LPS-induced edema surrounding the lung (maximum 61%) compared to placebo-treated controls. The decrease in lung edema is consistent with protection of the endothelial cell barrier. We believe that inhibitors of CRAC channels have the potential to inhibit the breakdown of the lung endothelial barrier in patients suffering from ARDS. </w:t>
      </w:r>
    </w:p>
    <w:p>
      <w:pPr>
        <w:pStyle w:val="TextBody"/>
        <w:bidi w:val="0"/>
        <w:spacing w:before="0" w:after="0"/>
        <w:jc w:val="left"/>
        <w:rPr/>
      </w:pPr>
      <w:r>
        <w:rPr/>
        <w:t> </w:t>
      </w:r>
    </w:p>
    <w:p>
      <w:pPr>
        <w:pStyle w:val="TextBody"/>
        <w:bidi w:val="0"/>
        <w:spacing w:before="0" w:after="0"/>
        <w:jc w:val="center"/>
        <w:rPr/>
      </w:pPr>
      <w:r>
        <w:rPr/>
        <w:drawing>
          <wp:inline distT="0" distB="0" distL="0" distR="0">
            <wp:extent cx="4829175" cy="18288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4829175" cy="18288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PBS - phosphate buffered saline, LPS - lipopolysaccharide, Veh - vehicle, Zego - Zegocractin, mpk - milligrams per kilogram, x2 - given twice at 5-hour intervals </w:t>
      </w:r>
    </w:p>
    <w:p>
      <w:pPr>
        <w:pStyle w:val="TextBody"/>
        <w:bidi w:val="0"/>
        <w:spacing w:before="120" w:after="0"/>
        <w:jc w:val="left"/>
        <w:rPr>
          <w:rFonts w:ascii="Times New Roman" w:hAnsi="Times New Roman"/>
          <w:sz w:val="20"/>
        </w:rPr>
      </w:pPr>
      <w:r>
        <w:rPr>
          <w:rFonts w:ascii="Times New Roman" w:hAnsi="Times New Roman"/>
          <w:i/>
          <w:sz w:val="20"/>
        </w:rPr>
        <w:t>Zegocractin lowered IL-6 and TNF</w:t>
      </w:r>
      <w:r>
        <w:rPr>
          <w:rFonts w:ascii="SYMBOL" w:hAnsi="SYMBOL"/>
          <w:sz w:val="20"/>
        </w:rPr>
        <w:t>µ</w:t>
      </w:r>
      <w:r>
        <w:rPr>
          <w:rFonts w:ascii="Times New Roman" w:hAnsi="Times New Roman"/>
          <w:sz w:val="20"/>
        </w:rPr>
        <w:t xml:space="preserve"> </w:t>
      </w:r>
      <w:r>
        <w:rPr>
          <w:rFonts w:ascii="Times New Roman" w:hAnsi="Times New Roman"/>
          <w:i/>
          <w:sz w:val="20"/>
        </w:rPr>
        <w:t xml:space="preserve">levels in lung fluid and reduced edema in an LPS model of acute lung injury.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studies for Chronic Inflammatory Disease  Chronic Pancreatitis </w:t>
      </w:r>
    </w:p>
    <w:p>
      <w:pPr>
        <w:pStyle w:val="TextBody"/>
        <w:bidi w:val="0"/>
        <w:spacing w:before="120" w:after="0"/>
        <w:jc w:val="left"/>
        <w:rPr>
          <w:rFonts w:ascii="Times New Roman" w:hAnsi="Times New Roman"/>
          <w:sz w:val="20"/>
        </w:rPr>
      </w:pPr>
      <w:r>
        <w:rPr>
          <w:rFonts w:ascii="Times New Roman" w:hAnsi="Times New Roman"/>
          <w:sz w:val="20"/>
        </w:rPr>
        <w:t xml:space="preserve">We are developing oral CRAC channel inhibitors that we intend to take into indications which are not treated in a critical care setting such as chronic inflammatory diseases like chronic pancreatitis. We have obtained or generated preclinical data which support the use of CRAC channel inhibitors in indications such as chronic pancreatitis, rheumatoid arthritis, asthma and psoriasis where an IV formulation would not represent a viable therapeutic approach. Repeated attacks of AP, as well as heavy alcohol use and genetic anomalies, can lead to the development of chronic pancreatitis, a debilitating disease characterized by pain, fibrosis and declining pancreatic function that increases the risk of developing pancreatic cancer by a factor of ten to 100. According to the Pancreatitis Foundation, approximately 140,000 people suffer from chronic pancreatitis in the United States alone. We believe this will be considered an orphan indication and intend to apply for orphan designation with the FDA. </w:t>
      </w:r>
    </w:p>
    <w:p>
      <w:pPr>
        <w:pStyle w:val="TextBody"/>
        <w:bidi w:val="0"/>
        <w:spacing w:before="360" w:after="0"/>
        <w:jc w:val="left"/>
        <w:rPr>
          <w:rFonts w:ascii="Times New Roman" w:hAnsi="Times New Roman"/>
          <w:sz w:val="20"/>
        </w:rPr>
      </w:pPr>
      <w:r>
        <w:rPr>
          <w:rFonts w:ascii="Times New Roman" w:hAnsi="Times New Roman"/>
          <w:sz w:val="20"/>
          <w:u w:val="single"/>
        </w:rPr>
        <w:t>Preclinical Studies with CRAC Channel Inhibitors in Chronic Pancreatitis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Our preclinical studies of CM5480, a proprietary compound, in chronic pancreatitis suggest that CRAC channel inhibition may decrease fibrosis and organ dysfunction in this setting. We are currently performing IND-enabling preclinical studies with multiple proprietary compounds in order to identify one or more candidates with good pharmaceutical properties. CM6336, our current lead oral CRAC channel inhibitor, is structurally distinct from CM5480 but with potentially improved pharmacokinetic properties. We may be in position to submit an IND for CM6336 in chronic pancreatitis and initiate a Phase 1/1b clinical trial in 2025, subject to receipt of additional funding.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tested CM5480 in a mouse model of chronic pancreatitis, in which animals are given eight hourly injections of cerulein per day on five occasions, each separated by two intervening cerulein-free days. CM5480, a model compound, was given by once-daily intraperitoneal injections for nine days starting after the third round of cerulein injections. The cerulein injections produced pancreatic fibrosis and reductions in pancreatic epithelial (mostly acinar) cells and ductal cell secretion. We found that CM5480 reduced pancreatic fibrosis by 50%, modestly increased epithelial cells, and restored pancreatic ductal cell secretion. These results suggest that there is the potential to treat chronic pancreatitis with a CRAC channel inhibitor, especially one that can be readily administered to patients, such as with an oral formulation.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4772025" cy="18859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4772025" cy="18859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4905375" cy="19907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4905375" cy="19907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CM5480 (CM-C) reduced acinar cell necrosis (top panels), prevented the formation of fibrosis (bottom left) and restored pancreatic ductal secretion (bottom right) in a mouse model of chronic pancreatitis.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Study in Inflammatory Bowel Disease </w:t>
      </w:r>
    </w:p>
    <w:p>
      <w:pPr>
        <w:pStyle w:val="TextBody"/>
        <w:bidi w:val="0"/>
        <w:spacing w:before="120" w:after="0"/>
        <w:jc w:val="left"/>
        <w:rPr>
          <w:rFonts w:ascii="Times New Roman" w:hAnsi="Times New Roman"/>
          <w:sz w:val="20"/>
        </w:rPr>
      </w:pPr>
      <w:r>
        <w:rPr>
          <w:rFonts w:ascii="Times New Roman" w:hAnsi="Times New Roman"/>
          <w:sz w:val="20"/>
        </w:rPr>
        <w:t>Recent animal data indicates that CRAC channel inhibition by zegocractin (CM4620) may be effective in the treatment of inflammatory bowel disease, such as ulcerative colitis. In a preclinical study performed with scientists from Charite  University Medicine, Berlin and New York University Grossman School of Medicine, it was shown that zegocractin administered orally to mice every other day for a period of 30 days produced a significant reduction in intestinal inflammation in a model of ulcerative colitis. Consistent with the anti-inflammatory action of zegocractin, reductions in the frequencies of IFN-</w:t>
      </w:r>
      <w:r>
        <w:rPr>
          <w:rFonts w:ascii="SYMBOL" w:hAnsi="SYMBOL"/>
          <w:sz w:val="20"/>
        </w:rPr>
        <w:t>g</w:t>
      </w:r>
      <w:r>
        <w:rPr>
          <w:rFonts w:ascii="Times New Roman" w:hAnsi="Times New Roman"/>
          <w:sz w:val="20"/>
        </w:rPr>
        <w:t xml:space="preserve">, TNFα and IL-2 producing CD4 T cells were also observed in T cells isolated and stimulated </w:t>
      </w:r>
      <w:r>
        <w:rPr>
          <w:rFonts w:ascii="Times New Roman" w:hAnsi="Times New Roman"/>
          <w:i/>
          <w:sz w:val="20"/>
        </w:rPr>
        <w:t xml:space="preserve">ex vivo </w:t>
      </w:r>
      <w:r>
        <w:rPr>
          <w:rFonts w:ascii="Times New Roman" w:hAnsi="Times New Roman"/>
          <w:sz w:val="20"/>
        </w:rPr>
        <w:t xml:space="preserve">at the end of the study. These data, published earlier this year in the journal </w:t>
      </w:r>
      <w:r>
        <w:rPr>
          <w:rFonts w:ascii="Times New Roman" w:hAnsi="Times New Roman"/>
          <w:i/>
          <w:sz w:val="20"/>
        </w:rPr>
        <w:t xml:space="preserve">EMBO Molecular Medicine, </w:t>
      </w:r>
      <w:r>
        <w:rPr>
          <w:rFonts w:ascii="Times New Roman" w:hAnsi="Times New Roman"/>
          <w:sz w:val="20"/>
        </w:rPr>
        <w:t xml:space="preserve">suggest that zegocractin could be effective in treating patients with acute flares of inflammatory bowel disease. </w:t>
      </w:r>
    </w:p>
    <w:p>
      <w:pPr>
        <w:pStyle w:val="TextBody"/>
        <w:bidi w:val="0"/>
        <w:spacing w:before="0" w:after="0"/>
        <w:jc w:val="left"/>
        <w:rPr/>
      </w:pPr>
      <w:r>
        <w:rPr/>
        <w:t> </w:t>
      </w:r>
    </w:p>
    <w:p>
      <w:pPr>
        <w:pStyle w:val="TextBody"/>
        <w:bidi w:val="0"/>
        <w:spacing w:before="0" w:after="0"/>
        <w:jc w:val="center"/>
        <w:rPr/>
      </w:pPr>
      <w:r>
        <w:rPr/>
        <w:drawing>
          <wp:inline distT="0" distB="0" distL="0" distR="0">
            <wp:extent cx="3619500" cy="13335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3619500" cy="13335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i/>
          <w:sz w:val="20"/>
        </w:rPr>
        <w:t>Systemic administration of CM4620 (zegocractin) alleviates colon inflammation in mice. Histological sections of distal and proximal colon were scored for the presence of inflammatory cells (Colitis Score). CD4+ T cells were isolated from animals after treatment with vehicle or CM4620 and stimulated ex vivo with a phorbol ester (PMA) + ionomycin for 4 hours. Frequencies (%) of IFN-</w:t>
      </w:r>
      <w:r>
        <w:rPr>
          <w:rFonts w:ascii="SYMBOL" w:hAnsi="SYMBOL"/>
          <w:sz w:val="20"/>
        </w:rPr>
        <w:t>g</w:t>
      </w:r>
      <w:r>
        <w:rPr>
          <w:rFonts w:ascii="Times New Roman" w:hAnsi="Times New Roman"/>
          <w:i/>
          <w:sz w:val="20"/>
        </w:rPr>
        <w:t>, TNF</w:t>
      </w:r>
      <w:r>
        <w:rPr>
          <w:rFonts w:ascii="Times New Roman" w:hAnsi="Times New Roman"/>
          <w:sz w:val="20"/>
        </w:rPr>
        <w:t xml:space="preserve">α </w:t>
      </w:r>
      <w:r>
        <w:rPr>
          <w:rFonts w:ascii="Times New Roman" w:hAnsi="Times New Roman"/>
          <w:i/>
          <w:sz w:val="20"/>
        </w:rPr>
        <w:t xml:space="preserve">and IL-2 T cells were then determined.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Study in Allergic Asthma </w:t>
      </w:r>
    </w:p>
    <w:p>
      <w:pPr>
        <w:pStyle w:val="TextBody"/>
        <w:bidi w:val="0"/>
        <w:spacing w:before="120" w:after="0"/>
        <w:jc w:val="left"/>
        <w:rPr>
          <w:rFonts w:ascii="Times New Roman" w:hAnsi="Times New Roman"/>
          <w:sz w:val="20"/>
        </w:rPr>
      </w:pPr>
      <w:r>
        <w:rPr>
          <w:rFonts w:ascii="Times New Roman" w:hAnsi="Times New Roman"/>
          <w:sz w:val="20"/>
        </w:rPr>
        <w:t xml:space="preserve">The effectiveness of zegocractin (CM4620) was compared in mouse models of asthmatic airway inflammation and influenza A virus infection to determine if inhibition of CRAC channels reduces asthmatic inflammation without interfering with the antiviral response. Researchers from New York University Grossman School of Medicine showed that in a model of allergic airway inflammation oral administration of zegocractin significantly lowered both peribronchiolar inflammation and lung mucus production. Conversely, there was no effect of zegocractin on lung viral load in a model of influenza A virus infection. These results indicate zegocractin may be an effective treatment for allergic asthma but will not decrease the anti-viral response to a viral infection. These data were published recently in the journal </w:t>
      </w:r>
      <w:r>
        <w:rPr>
          <w:rFonts w:ascii="Times New Roman" w:hAnsi="Times New Roman"/>
          <w:i/>
          <w:sz w:val="20"/>
        </w:rPr>
        <w:t xml:space="preserve">Science Advances </w:t>
      </w:r>
      <w:r>
        <w:rPr>
          <w:rFonts w:ascii="Times New Roman" w:hAnsi="Times New Roman"/>
          <w:sz w:val="20"/>
        </w:rPr>
        <w:t xml:space="preserve">earlier this year. </w:t>
      </w:r>
    </w:p>
    <w:p>
      <w:pPr>
        <w:pStyle w:val="TextBody"/>
        <w:bidi w:val="0"/>
        <w:spacing w:before="0" w:after="0"/>
        <w:jc w:val="left"/>
        <w:rPr/>
      </w:pPr>
      <w:r>
        <w:rPr/>
        <w:t> </w:t>
      </w:r>
    </w:p>
    <w:p>
      <w:pPr>
        <w:pStyle w:val="TextBody"/>
        <w:bidi w:val="0"/>
        <w:spacing w:before="0" w:after="0"/>
        <w:jc w:val="center"/>
        <w:rPr/>
      </w:pPr>
      <w:r>
        <w:rPr/>
        <w:drawing>
          <wp:inline distT="0" distB="0" distL="0" distR="0">
            <wp:extent cx="3952875" cy="16764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3952875" cy="1676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CM4620 (zegocractin) reduces lung inflammation in a mouse model of allergic asthma but does not compromise adaptive immunity to influenza A virus infection. Lung sections from control and CM4620 treated asthmatic mice were stained with hematoxylin and eosin (H&amp;E) or periodic acid- Schiff (PAS) to detect inflammation and mucus production, respectively. Influenza A virus (IAV) expression was quantified in lung by quantitative RT-PCR of RNA for nuclear segment 5 of IAV (a specific probe for IAV), and is presented as expression relative to the housekeeping gene Rpl32.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Study in Traumatic Brain Injury </w:t>
      </w:r>
    </w:p>
    <w:p>
      <w:pPr>
        <w:pStyle w:val="TextBody"/>
        <w:bidi w:val="0"/>
        <w:spacing w:before="120" w:after="0"/>
        <w:jc w:val="left"/>
        <w:rPr>
          <w:rFonts w:ascii="Times New Roman" w:hAnsi="Times New Roman"/>
          <w:sz w:val="20"/>
        </w:rPr>
      </w:pPr>
      <w:r>
        <w:rPr>
          <w:rFonts w:ascii="Times New Roman" w:hAnsi="Times New Roman"/>
          <w:sz w:val="20"/>
        </w:rPr>
        <w:t xml:space="preserve">In a preclinical study performed with investigators at the San Francisco Veterans Affairs Hospital and UCSF, CM5480, a proprietary tool compound, was tested in a mouse model of traumatic brain injury in which animals were subjected to a controlled cortical impact with an automated impactor to induce brain injury. It was observed that treatment with CM5480 led to significant protection of mice from traumatic brain injury as determined by decreased lesion size, brain hemorrhage and improved neurological deficits with decreased microglial activation. This study was published in </w:t>
      </w:r>
      <w:r>
        <w:rPr>
          <w:rFonts w:ascii="Times New Roman" w:hAnsi="Times New Roman"/>
          <w:i/>
          <w:sz w:val="20"/>
        </w:rPr>
        <w:t xml:space="preserve">Journal of Neurotrauma </w:t>
      </w:r>
      <w:r>
        <w:rPr>
          <w:rFonts w:ascii="Times New Roman" w:hAnsi="Times New Roman"/>
          <w:sz w:val="20"/>
        </w:rPr>
        <w:t xml:space="preserve">in 2019.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conducting preclinical pharmacokinetic and IND-enabling toxicology studies on a number of product candidates from our portfolio in order to identify one that readily crosses the blood-brain barrier. We are evaluating these observations and our preclinical results and will consider whether to submit an IND in this indication in the future. </w:t>
      </w:r>
    </w:p>
    <w:p>
      <w:pPr>
        <w:pStyle w:val="TextBody"/>
        <w:bidi w:val="0"/>
        <w:spacing w:before="0" w:after="0"/>
        <w:jc w:val="left"/>
        <w:rPr/>
      </w:pPr>
      <w:r>
        <w:rPr/>
        <w:t> </w:t>
      </w:r>
    </w:p>
    <w:p>
      <w:pPr>
        <w:pStyle w:val="TextBody"/>
        <w:bidi w:val="0"/>
        <w:spacing w:before="0" w:after="0"/>
        <w:jc w:val="center"/>
        <w:rPr/>
      </w:pPr>
      <w:r>
        <w:rPr/>
        <w:drawing>
          <wp:inline distT="0" distB="0" distL="0" distR="0">
            <wp:extent cx="4543425" cy="16573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4543425" cy="16573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i/>
          <w:sz w:val="20"/>
        </w:rPr>
        <w:t>CM5480 (CM-EX-137) reduced injury in a traumatic brain injury model in mice.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 party relationships. While we may commit significant financial and management resources to commercial activities, we will also consider collaborating with one or more pharmaceutical companies to enhance our commercial capabilities. As our future product candidates progress through our pipeline, our commercial plans may change. Clinical data, the size of the development programs, the size of our target markets, the size of a commercial infrastructure and manufacturing needs may all influence our commercialization strategies.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We do not own or operate manufacturing facilities for the production of any of our future product candidates, nor do we have plans to develop our own manufacturing operations in the foreseeable future. We currently rely, and expect to continue to rely for the foreseeable future, on third-party contract manufacturing organizations (</w:t>
      </w:r>
      <w:r>
        <w:rPr>
          <w:rFonts w:ascii="Times New Roman" w:hAnsi="Times New Roman"/>
          <w:b/>
          <w:sz w:val="20"/>
        </w:rPr>
        <w:t>CMOs</w:t>
      </w:r>
      <w:r>
        <w:rPr>
          <w:rFonts w:ascii="Times New Roman" w:hAnsi="Times New Roman"/>
          <w:sz w:val="20"/>
        </w:rPr>
        <w:t xml:space="preserve">) for all our required raw materials, drug substance and drug product needs for preclinical research, clinical trials and initial commercialization. We do not have long-term agreements with any of these third parties. We also do not have any current contractual relationships for the manufacture of commercial supplies of any of our future product candidates and do not plan to enter into any until further into clinical development. If any of our products are approved by any regulatory agency, we intend to enter into agreements with a CMO and one or more back-up manufacturers for the commercial production of those products. Development and commercial quantities of any products that we develop will need to be manufactured in facilities, and by processes, that comply with the requirements of the FDA and the regulatory agencies of other jurisdictions in which we are conducting clinical research or seeking marketing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pharmaceutical and biotechnology industries are characterized by intense competition and rapid innovation. While we believe that our product candidates, as well as our development experience and scientific knowledge may provide significant advantages, relative to current approaches and therapies in the treatment of acute critical inflammatory diseases and other indications of interest, our competitors may be able to develop other compounds or drugs that are able to achieve similar or better results. We face potential competition from many different sources, including large multinational pharmaceutical companies, established biotechnology companies and specialty pharmaceutical companies, and universities and other research institutions. Many of these groups have materially greater financial, manufacturing, marketing, research and drug development resources than we do. Large pharmaceutical companies in particular have extensive expertise in preclinical and clinical testing and in obtaining regulatory approvals for drugs. Smaller or early-stage companies may also prove to be significant competitors, particularly through collaborative arrangements with large,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biopharmaceutical company focused on developing therapeutics that treat serious illnesses driven by inflammatory processes and direct cellular damage. The molecular targets we are addressing are CRAC channels, and our most advanced clinical candidate, Auxora, is in clinical trials for AP with accompanying SIRS and severe COVID-19 pneumonia. Other companies, including Daiichi-Sankyo Company, Limited, Rhizen Pharmaceuticals AG, PRCL Research, Inc., Vivreon Biosciences, LLC and ChemiCare srl, have CRAC channel inhibitors (including both small molecules and monoclonal antibodies) in clinical or preclinical development for various indications. Several of these have reached Phase 1 or Phase 2 clinical trials in indications we are not currently pursuing. Any of these companies could elect to re-direct their efforts and compounds to indications we are pursuing. </w:t>
      </w:r>
    </w:p>
    <w:p>
      <w:pPr>
        <w:pStyle w:val="TextBody"/>
        <w:bidi w:val="0"/>
        <w:spacing w:before="240" w:after="0"/>
        <w:jc w:val="left"/>
        <w:rPr>
          <w:rFonts w:ascii="Times New Roman" w:hAnsi="Times New Roman"/>
          <w:sz w:val="20"/>
        </w:rPr>
      </w:pPr>
      <w:r>
        <w:rPr>
          <w:rFonts w:ascii="Times New Roman" w:hAnsi="Times New Roman"/>
          <w:sz w:val="20"/>
        </w:rPr>
        <w:t>With respect to our lead indication, AP with accompanying SIRS, we are developing Auxora as a disease- modifying product candidate, whereas other treatments and approaches in clinical development focus on addressing symptoms or sequelae. These include various types of pain medications, anti- inflammatories, anti-coagulants, antibiotics, fluids and feeding regimens. Amryt Pharma Plc and Regeneron Pharmaceuticals, Inc. also have agents in development that seek to reduce the risk of subsequent attacks of AP after a sentinel attack (known as recurrent AP) due to a particular etiology (familial chylomicronemia syndrome (</w:t>
      </w:r>
      <w:r>
        <w:rPr>
          <w:rFonts w:ascii="Times New Roman" w:hAnsi="Times New Roman"/>
          <w:b/>
          <w:sz w:val="20"/>
        </w:rPr>
        <w:t>FCS</w:t>
      </w:r>
      <w:r>
        <w:rPr>
          <w:rFonts w:ascii="Times New Roman" w:hAnsi="Times New Roman"/>
          <w:sz w:val="20"/>
        </w:rPr>
        <w:t xml:space="preserve">)). FCS patients represent less than 2% of the AP population.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AIPT, there is currently no disease modifying treatment for patients who develop pancreatic toxicity as a result of asparaginase. The current standard of care address symptoms like pain, the inability to eat, and infection.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efforts in other acute critical illnesses with Auxora, there are a number of companies, particularly with anti-inflammatory technologies. In the area of AKI, most companies in the space are pursuing strategies to prevent AKI in high risk populations. Currently, to our knowledge, there are no novel compounds in clinical development in the US that are being used to treat rather than prevent AKI. If, however, a strategy to prevent AKI were to be effective, the number of patients we are targeting for Auxora could decrease. In the area of respiratory failure and, specifically, COVID-19 pneumonia, there are a number of companies pursing anti-inflammatory approaches to treating these diseases. Currently, Roches tocilizumab, Imclones baricitinib, SOBIs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anakinra and dexamethasone are all approved under EUAs to treat severe COVID-19 pneumonia patients on oxygen. Sanofis sarilumab which has the same mechanism of action as tocilizumab has also been recommended for use in severe COVID-19 pneumonia by WHO. Some of these drugs as well as others currently in development for COVID-19 pneumonia may prove efficacious in broader respiratory failure, particularly respiratory failure caused by viral pneumonias.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opportunity could be substantially limited in the event that our competitors develop and commercialize products that are more effective, safer, more convenient or cheaper than our product candidates. In geographies that are critical to our commercial success, competitors may also obtain regulatory approvals before us, resulting in our competitors building a strong market position in advance of our products entry. We believe the competitive factors that will determine the success of our programs will be the efficacy, safety, pricing and reimbursement, and convenience of our future product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have developed and continue to expand our patent portfolio for Auxora. As of July 31, 2023, we have issued patents and pending patent applications in the United States and other countries throughout the world directed to compositions of matter, various methods of use, formulations, and synthetic processes. For patents directed to compositions covering Auxora, we own three issued U.S. patents and 59 issued patents in the following jurisdictions: Argentina, Australia, Austria, Belgium, Bulgaria, Brazil, Canada, Czech Republic, Denmark, Finland, France, Germany, Greece, Hungary, Ireland, Israel, Italy, Japan, Luxembourg, Monaco, Netherlands, Norway, Poland, Portugal, Romania, Spain, Sweden, Slovakia, Switzerland, Turkey, United Kingdom, Eurasian Patent Organization, and Taiwan. We also have one pending U.S. patent application and seven pending patent applications in the following jurisdictions: Japan, Canada, China, India, and Korea directed to compositions covering Auxora. Composition of matter patents for our drug compound portfolio have expirations ranging from 2031 to 2036 with Auxora and other pre-clinical drugs having world-wide composition of matter patents to 2036, not including any patent term adjustment or any patent term extension. </w:t>
      </w:r>
    </w:p>
    <w:p>
      <w:pPr>
        <w:pStyle w:val="TextBody"/>
        <w:bidi w:val="0"/>
        <w:spacing w:before="240" w:after="0"/>
        <w:jc w:val="left"/>
        <w:rPr>
          <w:rFonts w:ascii="Times New Roman" w:hAnsi="Times New Roman"/>
          <w:sz w:val="20"/>
        </w:rPr>
      </w:pPr>
      <w:r>
        <w:rPr>
          <w:rFonts w:ascii="Times New Roman" w:hAnsi="Times New Roman"/>
          <w:sz w:val="20"/>
        </w:rPr>
        <w:t xml:space="preserve">For patents and patent applications directed to methods of using Auxora for the treatment of AP, as of July 31, 2023, we own four issued U.S. patents and 33 issued patents in the following jurisdictions: China, Japan, Australia the Eurasian Patent Organization, Austria, Belgium, Bulgaria, Canada, Czech Republic, Denmark, Finland, France, Germany, Greece, Hungary, Ireland, Italy, Japan, Luxembourg, Monaco, Netherlands, Norway, Poland, Portugal, Romania, Spain, Sweden, Slovakia, Switzerland, Turkey, United Kingdom, and Taiwan. We also own two U.S. patent applications, and fourteen pending patent applications in the following jurisdictions: Argentina, Australia, Canada, China, Europe, Hong Kong, Japan, and Taiwan for other indications. These issued patents and any patents issuing from pending U.S. and ex-U.S. applications are expected to expire between 2031-2041, not including any patent term adjustment or any patent term extension. We have also filed one international application directed to using a subjects P/F ratio (the ratio of arterial oxygen pressure to fractional inspired oxygen) as a biomarker when treating acute lung injury and acute respiratory distress syndrome with Auxora. Any patents ultimately issuing from this international application are expected to expire around 2043, not including any patent term adjustment or patent term extension.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jointly own one issued U.S. patent, 13 issued patents in the following jurisdictions: Australia, Germany, France, United Kingdom, Belgium, Switzerland, Denmark, Ireland, Italy, Luxembourg, Netherlands, Sweden, and Japan directed to treatment for stroke and traumatic brain injury. We also own one pending patent application in Canada. These patents and any patents issuing from applications are expected to expire around 2036, not including any patent term adjustment or patent term extension. Also, we have filed one provisional application directed to treatment of non-alcoholic fatty liver disease using Auxora. Any patents ultimately issuing from this provision alapplication are expected to expire around 2044, not including any patent term adjustment or patent term extension. </w:t>
      </w:r>
    </w:p>
    <w:p>
      <w:pPr>
        <w:pStyle w:val="TextBody"/>
        <w:bidi w:val="0"/>
        <w:spacing w:before="240" w:after="0"/>
        <w:jc w:val="left"/>
        <w:rPr>
          <w:rFonts w:ascii="Times New Roman" w:hAnsi="Times New Roman"/>
          <w:sz w:val="20"/>
        </w:rPr>
      </w:pPr>
      <w:r>
        <w:rPr>
          <w:rFonts w:ascii="Times New Roman" w:hAnsi="Times New Roman"/>
          <w:sz w:val="20"/>
        </w:rPr>
        <w:t xml:space="preserve">Moreover, for patent protection directed to formulations and crystalline forms of Auxora, we have filed one U.S. patent application, one granted patent in Mexico, and eight pending applications in the following jurisdictions: Australia, Brazil, Canada, China, Europe, Japan, Korea, and Mexico. Any patents that ultimately issue from these patent applications are expected to expire around 2038, not including any patent term adjustment or patent term extension.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synthetic processes of Auxora, we have filed one U.S. patent application, and pending applications in the following jurisdictions: Canada, China, Europe, Japan, and Korea. Any patents ultimately issuing from these PCT applications are expected to expire around 2040, not including any patent term adjustment or any patent term extension. </w:t>
      </w:r>
    </w:p>
    <w:p>
      <w:pPr>
        <w:pStyle w:val="TextBody"/>
        <w:bidi w:val="0"/>
        <w:spacing w:before="240" w:after="0"/>
        <w:jc w:val="left"/>
        <w:rPr>
          <w:rFonts w:ascii="Times New Roman" w:hAnsi="Times New Roman"/>
          <w:sz w:val="20"/>
        </w:rPr>
      </w:pPr>
      <w:r>
        <w:rPr>
          <w:rFonts w:ascii="Times New Roman" w:hAnsi="Times New Roman"/>
          <w:sz w:val="20"/>
        </w:rPr>
        <w:t xml:space="preserve">Beyond patent coverage for Auxora, we have 22 issued U.S. patents, 39 issued ex-U.S. patents, one pending U.S. patent application, and four pending ex-U.S. patent applications directed to CRAC channel inhibitors and their uses.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patent protection, we rely on trade secret protection and know-how to expand our proprietary position around our chemistry, technology, and other discoveries and inventions that we consider important to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and Product Approval </w:t>
      </w:r>
    </w:p>
    <w:p>
      <w:pPr>
        <w:pStyle w:val="TextBody"/>
        <w:bidi w:val="0"/>
        <w:spacing w:before="120" w:after="0"/>
        <w:jc w:val="left"/>
        <w:rPr>
          <w:rFonts w:ascii="Times New Roman" w:hAnsi="Times New Roman"/>
          <w:sz w:val="20"/>
        </w:rPr>
      </w:pPr>
      <w:r>
        <w:rPr>
          <w:rFonts w:ascii="Times New Roman" w:hAnsi="Times New Roman"/>
          <w:sz w:val="20"/>
        </w:rPr>
        <w:t xml:space="preserve">As a 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drug products such as those we are developing. Product candidates that we develop must be approved by the FDA, before they may be legally marketed in the United States and by the appropriate foreign regulatory agency before they may be legally marketed in a foreign country.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 </w:t>
      </w:r>
    </w:p>
    <w:p>
      <w:pPr>
        <w:pStyle w:val="TextBody"/>
        <w:bidi w:val="0"/>
        <w:spacing w:before="360" w:after="0"/>
        <w:jc w:val="left"/>
        <w:rPr>
          <w:rFonts w:ascii="Times New Roman" w:hAnsi="Times New Roman"/>
          <w:b/>
          <w:sz w:val="20"/>
        </w:rPr>
      </w:pPr>
      <w:r>
        <w:rPr>
          <w:rFonts w:ascii="Times New Roman" w:hAnsi="Times New Roman"/>
          <w:b/>
          <w:sz w:val="20"/>
        </w:rPr>
        <w:t xml:space="preserve">U.S. Drug Development Process </w:t>
      </w:r>
    </w:p>
    <w:p>
      <w:pPr>
        <w:pStyle w:val="TextBody"/>
        <w:bidi w:val="0"/>
        <w:spacing w:before="120" w:after="0"/>
        <w:jc w:val="left"/>
        <w:rPr>
          <w:rFonts w:ascii="Times New Roman" w:hAnsi="Times New Roman"/>
          <w:sz w:val="20"/>
        </w:rPr>
      </w:pPr>
      <w:r>
        <w:rPr>
          <w:rFonts w:ascii="Times New Roman" w:hAnsi="Times New Roman"/>
          <w:sz w:val="20"/>
        </w:rPr>
        <w:t>In the United States, the FDA regulates drugs under the Federal Food, Drug and Cosmetic Act (</w:t>
      </w:r>
      <w:r>
        <w:rPr>
          <w:rFonts w:ascii="Times New Roman" w:hAnsi="Times New Roman"/>
          <w:b/>
          <w:sz w:val="20"/>
        </w:rPr>
        <w:t>FDCA</w:t>
      </w:r>
      <w:r>
        <w:rPr>
          <w:rFonts w:ascii="Times New Roman" w:hAnsi="Times New Roman"/>
          <w:sz w:val="20"/>
        </w:rPr>
        <w:t>), and its implementing regulations. A new drug must be approved by the FDA pursuant to a new drug application (</w:t>
      </w:r>
      <w:r>
        <w:rPr>
          <w:rFonts w:ascii="Times New Roman" w:hAnsi="Times New Roman"/>
          <w:b/>
          <w:sz w:val="20"/>
        </w:rPr>
        <w:t>NDA</w:t>
      </w:r>
      <w:r>
        <w:rPr>
          <w:rFonts w:ascii="Times New Roman" w:hAnsi="Times New Roman"/>
          <w:sz w:val="20"/>
        </w:rPr>
        <w:t>) before it may be legally marketed in the United States. Drugs are also subject to other federal, state and local statutes and regulations. The process of obtaining regulatory approvals and the subsequent compliance with appropriate federal, state, and local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Sanctions brought by the FDA and the Department of Justice (</w:t>
      </w:r>
      <w:r>
        <w:rPr>
          <w:rFonts w:ascii="Times New Roman" w:hAnsi="Times New Roman"/>
          <w:b/>
          <w:sz w:val="20"/>
        </w:rPr>
        <w:t>DOJ</w:t>
      </w:r>
      <w:r>
        <w:rPr>
          <w:rFonts w:ascii="Times New Roman" w:hAnsi="Times New Roman"/>
          <w:sz w:val="20"/>
        </w:rPr>
        <w:t xml:space="preserve">), or other governmental entities,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process required by the FDA before a drug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completion of extensive preclinical laboratory tests, preclinical animal studies and formulation studies in accordance with applicable regulations, including the FDAs Good Laboratory Practice (</w:t>
            </w:r>
            <w:r>
              <w:rPr>
                <w:rFonts w:ascii="Times New Roman" w:hAnsi="Times New Roman"/>
                <w:b/>
                <w:sz w:val="20"/>
              </w:rPr>
              <w:t>GLP</w:t>
            </w:r>
            <w:r>
              <w:rPr>
                <w:rFonts w:ascii="Times New Roman" w:hAnsi="Times New Roman"/>
                <w:sz w:val="20"/>
              </w:rPr>
              <w:t xml:space="preserve">) regulations and other applicable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approval by an independent institutional review board (</w:t>
            </w:r>
            <w:r>
              <w:rPr>
                <w:rFonts w:ascii="Times New Roman" w:hAnsi="Times New Roman"/>
                <w:b/>
                <w:sz w:val="20"/>
              </w:rPr>
              <w:t>IRB</w:t>
            </w:r>
            <w:r>
              <w:rPr>
                <w:rFonts w:ascii="Times New Roman" w:hAnsi="Times New Roman"/>
                <w:sz w:val="20"/>
              </w:rPr>
              <w:t xml:space="preserve">) at each clinical site before each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preparation of clinical trial material in accordance with current Good Manufacturing Practices (</w:t>
            </w:r>
            <w:r>
              <w:rPr>
                <w:rFonts w:ascii="Times New Roman" w:hAnsi="Times New Roman"/>
                <w:b/>
                <w:sz w:val="20"/>
              </w:rPr>
              <w:t>cGMPs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performance of adequate and well-controlled human clinical trials in accordance with applicable regulations, including the FDAs good clinical practice (</w:t>
            </w:r>
            <w:r>
              <w:rPr>
                <w:rFonts w:ascii="Times New Roman" w:hAnsi="Times New Roman"/>
                <w:b/>
                <w:sz w:val="20"/>
              </w:rPr>
              <w:t>GCP</w:t>
            </w:r>
            <w:r>
              <w:rPr>
                <w:rFonts w:ascii="Times New Roman" w:hAnsi="Times New Roman"/>
                <w:sz w:val="20"/>
              </w:rPr>
              <w:t xml:space="preserve">) regulations to establish the safety and efficacy of the proposed drug for its proposed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NDA, including payment of application user fees, after completion of all pivotal trials, and which provides substantive evidence of the products candidates safety and efficacy from results of nonclinical testing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by the FDA within 60 days of its receipt of an NDA that the application is sufficiently complete to permit a substantive review, in which case the NDA is filed for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pre-approval inspection of the manufacturing facility or facilities where the drug is produced to assess compliance with the FDAs cGMP requirements to assure that the facilities, methods and controls are adequate to preserve the drugs identity, strength, quality and purity;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FDA audit of the preclinical and/or clinical trial sites that generated the data in support of the NDA to assess compliance with GCP regulations and data integrity,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the NDA, including consideration of the views on the FDA advisory committee, if one was involved, prior to any commercial marketing or sale of the drug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testing any compound with potential therapeutic value in humans, the drug candidate enters the preclinical testing stage. Preclinical tests include laboratory evaluations of product chemistry, toxicity and formulation, as well as animal studies, to assess the potential safety and activity of the drug candidate. The conduct of the preclinical tests must comply with federal regulations and requirements including GLPs. The sponsor must submit the results of the preclinical tests, together with manufacturing information, analytical data, any available clinical data or literature and a proposed clinical protocol, to the FDA as part of the IND. An IND is an exemption from the FDCA that allows an unapproved product to be shipped in interstate commerce for use in an investigational clinical trial and a request for authorization from the FDA to administer an investigational drug product to humans. The central focus of an IND submission is on the general investigational plan and the protocol(s) for human trials. Some preclinical testing may continue even after the IND is submitted.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complete or partial clinical holds on an IND for a drug candidate at any time before or during clinical trials due to safety concerns or non-compliance. If the FDA imposes a clinical hold, trials may not recommence without FDA authorization and then only under terms authorized by the FDA. Submission of a study protocol, therefore, may or may not result in FDA authorization to begin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drug candidate to healthy volunteers or patients under the supervision of qualified investigators, generally physicians not employed by or under the trial sponsors control, in accordance with GCPs, which include the requirement that all research participants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w:t>
      </w:r>
    </w:p>
    <w:p>
      <w:pPr>
        <w:pStyle w:val="TextBody"/>
        <w:bidi w:val="0"/>
        <w:spacing w:before="240" w:after="0"/>
        <w:jc w:val="left"/>
        <w:rPr>
          <w:rFonts w:ascii="Times New Roman" w:hAnsi="Times New Roman"/>
          <w:sz w:val="20"/>
        </w:rPr>
      </w:pPr>
      <w:r>
        <w:rPr>
          <w:rFonts w:ascii="Times New Roman" w:hAnsi="Times New Roman"/>
          <w:sz w:val="20"/>
        </w:rPr>
        <w:t xml:space="preserve">Information related to the investigational product, patient population, phase of investigation, study sites and investigators and other aspects of the clinical trial is made public as part of the U.S. registration of the clinical trial. Sponsors are also obligated to disclose the results of their clinical trials after completion. Disclosure of the results of these trials can be delayed in some cases for up to two years after the date of completion of the trial. Competitors may use this publicly available information to gain knowledge regarding the progress of development programs. Failure to timely register a covered clinical study or to submit study results as provided for in the law can give rise to civil monetary penalties and also prevent the non-compliant party from receiving future grant funds from the federal government. </w:t>
      </w:r>
    </w:p>
    <w:p>
      <w:pPr>
        <w:pStyle w:val="TextBody"/>
        <w:bidi w:val="0"/>
        <w:spacing w:before="240" w:after="0"/>
        <w:jc w:val="left"/>
        <w:rPr>
          <w:rFonts w:ascii="Times New Roman" w:hAnsi="Times New Roman"/>
          <w:sz w:val="20"/>
        </w:rPr>
      </w:pPr>
      <w:r>
        <w:rPr>
          <w:rFonts w:ascii="Times New Roman" w:hAnsi="Times New Roman"/>
          <w:sz w:val="20"/>
        </w:rPr>
        <w:t xml:space="preserve">Human clinical trials are typically conducted in three sequential phases that may overlap or be combined: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Phase 1</w:t>
            </w:r>
            <w:r>
              <w:rPr>
                <w:rFonts w:ascii="Times New Roman" w:hAnsi="Times New Roman"/>
                <w:sz w:val="20"/>
              </w:rPr>
              <w:t xml:space="preserve">. The drug candidate is initially introduced into healthy human participants and tested for safety, dosage tolerance, absorption, metabolism, distribution and excretion, and the side effects associated with increasing doses and if possible, to gain early evidence of effectiveness. In the case of some products for severe or life-threatening diseases, especially when the product may be too inherently toxic to ethically administer to healthy volunteers, the initial human testing is often conducted in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Phase 2</w:t>
            </w:r>
            <w:r>
              <w:rPr>
                <w:rFonts w:ascii="Times New Roman" w:hAnsi="Times New Roman"/>
                <w:sz w:val="20"/>
              </w:rPr>
              <w:t xml:space="preserve">. The drug candidate is evaluated in a limited patient population to identify possible adverse effects and safety risks, to preliminarily evaluate the efficacy of the product for specific targeted diseases or conditions and to determine dosage tolerance, optimal dosage and dosing schedule. Multiple Phase 2 clinical trials may be conducted to obtain information prior to beginning larger and more expensive Phase 3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Phase 3</w:t>
            </w:r>
            <w:r>
              <w:rPr>
                <w:rFonts w:ascii="Times New Roman" w:hAnsi="Times New Roman"/>
                <w:sz w:val="20"/>
              </w:rPr>
              <w:t xml:space="preserve">. The drug candidate is administered to an expanded patient population to further evaluate dosage and clinical efficacy at geographically dispersed clinical trial sites. These clinical trials are intended to establish the overall benefit/risk ratio of the product and provide an adequate basis for product approval. Generally, two adequate and well-controlled Phase 3 clinical trials are required by the FDA for approval of an NDA.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Post-approval studies, or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w:t>
      </w:r>
    </w:p>
    <w:p>
      <w:pPr>
        <w:pStyle w:val="TextBody"/>
        <w:bidi w:val="0"/>
        <w:spacing w:before="240" w:after="0"/>
        <w:jc w:val="left"/>
        <w:rPr>
          <w:rFonts w:ascii="Times New Roman" w:hAnsi="Times New Roman"/>
          <w:sz w:val="20"/>
        </w:rPr>
      </w:pPr>
      <w:r>
        <w:rPr>
          <w:rFonts w:ascii="Times New Roman" w:hAnsi="Times New Roman"/>
          <w:sz w:val="20"/>
        </w:rPr>
        <w:t xml:space="preserve">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 </w:t>
      </w:r>
    </w:p>
    <w:p>
      <w:pPr>
        <w:pStyle w:val="TextBody"/>
        <w:bidi w:val="0"/>
        <w:spacing w:before="240" w:after="0"/>
        <w:jc w:val="left"/>
        <w:rPr>
          <w:rFonts w:ascii="Times New Roman" w:hAnsi="Times New Roman"/>
          <w:sz w:val="20"/>
        </w:rPr>
      </w:pPr>
      <w:r>
        <w:rPr>
          <w:rFonts w:ascii="Times New Roman" w:hAnsi="Times New Roman"/>
          <w:sz w:val="20"/>
        </w:rPr>
        <w:t xml:space="preserve">Progress reports detailing the results of the clinical trials must be submitted at least annually to the FDA and written IND safety reports must be submitted to the FDA and the investigators for serious and unexpected AEs or any finding from tests in laboratory animals that suggests a significant risk for human participants. Phase 1, Phase 2 and Phase 3 clinical trials may not be completed successfully within any specified period, if at all. The FDA, the IRB, or the sponsor may suspend or terminate a clinical trial at any time on various grounds, including a finding that the research participants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 </w:t>
      </w:r>
    </w:p>
    <w:p>
      <w:pPr>
        <w:pStyle w:val="TextBody"/>
        <w:bidi w:val="0"/>
        <w:spacing w:before="240" w:after="0"/>
        <w:jc w:val="left"/>
        <w:rPr>
          <w:rFonts w:ascii="Times New Roman" w:hAnsi="Times New Roman"/>
          <w:sz w:val="20"/>
        </w:rPr>
      </w:pPr>
      <w:r>
        <w:rPr>
          <w:rFonts w:ascii="Times New Roman" w:hAnsi="Times New Roman"/>
          <w:sz w:val="20"/>
        </w:rPr>
        <w:t xml:space="preserve">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Review and Approval Processes </w:t>
      </w:r>
    </w:p>
    <w:p>
      <w:pPr>
        <w:pStyle w:val="TextBody"/>
        <w:bidi w:val="0"/>
        <w:spacing w:before="120" w:after="0"/>
        <w:jc w:val="left"/>
        <w:rPr>
          <w:rFonts w:ascii="Times New Roman" w:hAnsi="Times New Roman"/>
          <w:sz w:val="20"/>
        </w:rPr>
      </w:pPr>
      <w:r>
        <w:rPr>
          <w:rFonts w:ascii="Times New Roman" w:hAnsi="Times New Roman"/>
          <w:sz w:val="20"/>
        </w:rPr>
        <w:t xml:space="preserve">Assuming successful completion of all required testing in accordance with all applicable regulatory requirements, the results of product development, preclinical studies and clinical trials, along with descriptions of the manufacturing process, analytical tests conducted on the chemistry of the drug candidate, proposed labeling and other relevant information are submitted to the FDA as part of an NDA requesting approval to market the product.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Sponsors are required to submit PSPs to the agency for review within sixty days of an end-of-Phase 2 meeting or, if there is no such meeting, as early as practicable before the initiation of the Phase 3 or Phase 2/3 clinical trial. The FDA and the sponsor must reach an agreement on the PSP although a sponsor can submit amendments to an agreed upon PSP at any time if changes to the pediatric plan need to be considered based on data collected from preclinical studies, early phase clinical trials or other clinical development programs.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 to be collected before the pediatric clinical trials begin. The FDA must send a non-compliance letter to any sponsor that fails to submit the required assessment, keep a deferral current or fails to submit a request for approval of a pediatric formulation. The FDA is also required to publicly post the PREA non-compliance letter and sponsors response Unless otherwise required by regulation, the Pediatric Research Equity Act does not apply to any drug for an indication for which orphan designation has been granted. However, if only one indication for a product has orphan designation, a pediatric assessment may still be required for any applications to market that same product for the non-orphan indication(s). </w:t>
      </w:r>
    </w:p>
    <w:p>
      <w:pPr>
        <w:pStyle w:val="TextBody"/>
        <w:bidi w:val="0"/>
        <w:spacing w:before="240" w:after="0"/>
        <w:jc w:val="left"/>
        <w:rPr>
          <w:rFonts w:ascii="Times New Roman" w:hAnsi="Times New Roman"/>
          <w:sz w:val="20"/>
        </w:rPr>
      </w:pPr>
      <w:r>
        <w:rPr>
          <w:rFonts w:ascii="Times New Roman" w:hAnsi="Times New Roman"/>
          <w:sz w:val="20"/>
        </w:rPr>
        <w:t xml:space="preserve">The FDA reviews all NDAs submitted to determine if they are substantially complete before it accepts them for filing and may request additional information rather than accepting an NDA for filing. The FDA must make a decision on accepting an NDA for filing within 60 days of receipt. The FDA may refuse to file any NDA that it deems incomplete or not properly reviewable at the time of submission and may request additional information. In this event, the NDA must be resubmitted with the additional information. Once the submission is accepted for filing, the FDA begins an in-depth review of the NDA. Under the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current review goal for priority NDAs for new-molecular entities is six months from the filing date, or eight months from the date of receipt in light of the 60-day filing period. The FDA does not always meet its PDUFA goal dates for standard and priority NDAs, and the review process is often significantly extended by FDA requests for additional information or clarification. </w:t>
      </w:r>
    </w:p>
    <w:p>
      <w:pPr>
        <w:pStyle w:val="TextBody"/>
        <w:bidi w:val="0"/>
        <w:spacing w:before="240" w:after="0"/>
        <w:jc w:val="left"/>
        <w:rPr>
          <w:rFonts w:ascii="Times New Roman" w:hAnsi="Times New Roman"/>
          <w:sz w:val="20"/>
        </w:rPr>
      </w:pPr>
      <w:r>
        <w:rPr>
          <w:rFonts w:ascii="Times New Roman" w:hAnsi="Times New Roman"/>
          <w:sz w:val="20"/>
        </w:rPr>
        <w:t xml:space="preserve">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independent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and typically follows the advisory committees recommendations.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that the clinical trial was conducted in compliance with IND study requirements and GCP requirements by each of the entities involved in the clinical trials, including clinical investigators and any third- party CROs. 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and/or (an) additional pivotal Phase 3 clinical trial(s), and/or other significant and time- 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are submitted, the FDA may ultimately decide that the NDA does not satisfy the criteria for approval. </w:t>
      </w:r>
    </w:p>
    <w:p>
      <w:pPr>
        <w:pStyle w:val="TextBody"/>
        <w:bidi w:val="0"/>
        <w:spacing w:before="240" w:after="0"/>
        <w:jc w:val="left"/>
        <w:rPr>
          <w:rFonts w:ascii="Times New Roman" w:hAnsi="Times New Roman"/>
          <w:sz w:val="20"/>
        </w:rPr>
      </w:pPr>
      <w:r>
        <w:rPr>
          <w:rFonts w:ascii="Times New Roman" w:hAnsi="Times New Roman"/>
          <w:sz w:val="20"/>
        </w:rPr>
        <w:t xml:space="preserve">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one or more post-market studies or clinical trials. For example, the FDA may require Phase 4 testing, which involves clinical trials designed to further assess a drug safety and effectiveness, and may require testing and surveillance programs to monitor the safety of approved products that have been commercialized; the FDA may prevent or limit further marketing of a product based on the results of post-marketing trials or surveillance programs. The FDA may also determine that a REMS is necessary to ensure that the benefits of the drug outweigh its risks and to assure the safe use of the drug. If the FDA concludes a REMS is needed, the sponsor of the NDA must submit a proposed REMS during the application review process; the FDA will not approve the NDA without an approved REMS, if required. A REMS could include medication guides, physician communication plans, and/or elements to assure safe use, such as restricted distribution methods, patient registries and other risk minimization tools. The FDA determines the requirement for a REMS, as well as the specific REMS provisions, on a case-by-case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Orphan Drug Designation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If an orphan designated product receives marketing approval for an indication broader than what is designated, it may not be entitled to orphan exclusivity.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Expedited Development and Review Programs and Accelerated Approval </w:t>
      </w:r>
    </w:p>
    <w:p>
      <w:pPr>
        <w:pStyle w:val="TextBody"/>
        <w:bidi w:val="0"/>
        <w:spacing w:before="120" w:after="0"/>
        <w:jc w:val="left"/>
        <w:rPr>
          <w:rFonts w:ascii="Times New Roman" w:hAnsi="Times New Roman"/>
          <w:sz w:val="20"/>
        </w:rPr>
      </w:pPr>
      <w:r>
        <w:rPr>
          <w:rFonts w:ascii="Times New Roman" w:hAnsi="Times New Roman"/>
          <w:sz w:val="20"/>
        </w:rPr>
        <w:t xml:space="preserve">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applicable FDA review team during product development and, once a NDA is submitted, the product candidate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t>
      </w:r>
    </w:p>
    <w:p>
      <w:pPr>
        <w:pStyle w:val="TextBody"/>
        <w:bidi w:val="0"/>
        <w:spacing w:before="240" w:after="0"/>
        <w:jc w:val="left"/>
        <w:rPr>
          <w:rFonts w:ascii="Times New Roman" w:hAnsi="Times New Roman"/>
          <w:sz w:val="20"/>
        </w:rPr>
      </w:pPr>
      <w:r>
        <w:rPr>
          <w:rFonts w:ascii="Times New Roman" w:hAnsi="Times New Roman"/>
          <w:sz w:val="20"/>
        </w:rPr>
        <w:t xml:space="preserve">Any product submitted to the FDA for approval, including a product with a fast track designation, may also be eligible for other types of FDA programs intended to expedite development and review, such as priority review. A product is eligible for priority review if it is designed to treat a serious condition, and if approved, would provide a significant improvement in the treatment, diagnosis or prevention of a serious condition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of the filing date for review of new molecular entity NDAs under its current PDUFA review goals.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product may be eligible for accelerated approval. Drug products intended to treat serious or life- 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to verify the predicted clinical benefit. Products receiving accelerated approval may be subject to expedited withdrawal procedures if the sponsor fails to conduct the required clinical trials, or if such trials fail to verify the predicted clinical benefit. In addition, the FDA requires as a condition for accelerated approval pre-approval of promotional materials, which could adversely impact the timing of the commercial launch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A sponsor may seek FDA designation of a drug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The FDA must take certain actions with respect to breakthrough therapies, such as holding timely meetings and providing advice to the product sponsor, intended to expedite the development and review of an application for approval of a breakthrough therapy.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Fast track designation, priority review, accelerated approval, and breakthrough therapy designation do not change the standards for approval but may expedite the development, review, or approval process. Even if a product qualifies for one or more of these programs, the FDA may later decide that the product no longer meets the conditions for qualification or decide that the time period for FDA review or approval will not be shortened. In addition, such designations or shortened review periods may not provide a material commercial advantage.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Any drug products manufactured or distributed pursuant to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After approval, most changes to the approved product, such as adding new indications or other labeling claims, are subject to prior FDA review and approval. There also are continuing, annual program fees for any marketed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quality control and manufacturing procedures must continue to conform to applicable manufacturing requirements after approval to ensure the long term stability of the drug product.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In addition, changes to the manufacturing process are strictly regulated, and depending on the significance of the change, may require prior FDA approval before being implemented. </w:t>
      </w:r>
    </w:p>
    <w:p>
      <w:pPr>
        <w:pStyle w:val="TextBody"/>
        <w:bidi w:val="0"/>
        <w:spacing w:before="240" w:after="0"/>
        <w:jc w:val="left"/>
        <w:rPr>
          <w:rFonts w:ascii="Times New Roman" w:hAnsi="Times New Roman"/>
          <w:sz w:val="20"/>
        </w:rPr>
      </w:pPr>
      <w:r>
        <w:rPr>
          <w:rFonts w:ascii="Times New Roman" w:hAnsi="Times New Roman"/>
          <w:sz w:val="20"/>
        </w:rPr>
        <w:t xml:space="preserve">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untitled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holds on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closely regulates the marketing, labeling, advertising and promotion of drug products, including promotional activities involving the internet and industry-sponsored educational activities. A company can make only those claims relating to safety and efficacy that are approved by the FDA and in accordance with the approved labeling. The FDA and other agencies actively enforce the laws and regulations prohibiting the promotion by manufacturers of uses or patient populations that are not described in the products approved labeling (known as off 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labeling. </w:t>
      </w:r>
    </w:p>
    <w:p>
      <w:pPr>
        <w:pStyle w:val="TextBody"/>
        <w:bidi w:val="0"/>
        <w:spacing w:before="240" w:after="0"/>
        <w:jc w:val="left"/>
        <w:rPr>
          <w:rFonts w:ascii="Times New Roman" w:hAnsi="Times New Roman"/>
          <w:sz w:val="20"/>
        </w:rPr>
      </w:pPr>
      <w:r>
        <w:rPr>
          <w:rFonts w:ascii="Times New Roman" w:hAnsi="Times New Roman"/>
          <w:sz w:val="20"/>
        </w:rPr>
        <w:t>In addition, the distribution of prescription pharmaceutical products is subject to the Prescription Drug Marketing Act (</w:t>
      </w:r>
      <w:r>
        <w:rPr>
          <w:rFonts w:ascii="Times New Roman" w:hAnsi="Times New Roman"/>
          <w:b/>
          <w:sz w:val="20"/>
        </w:rPr>
        <w:t>PDMA</w:t>
      </w:r>
      <w:r>
        <w:rPr>
          <w:rFonts w:ascii="Times New Roman" w:hAnsi="Times New Roman"/>
          <w:sz w:val="20"/>
        </w:rPr>
        <w:t>) which regulates the distribution of drugs and drug samples at the federal level, and sets minimum standards for the registration and regulation of wholesale drug distributors by the states. Both the PDMA and state laws limit the distribution of prescription pharmaceutical product samples and impose requirements to ensure accountability in distribution. Most recently, the Drug Supply Chain Security Act (</w:t>
      </w:r>
      <w:r>
        <w:rPr>
          <w:rFonts w:ascii="Times New Roman" w:hAnsi="Times New Roman"/>
          <w:b/>
          <w:sz w:val="20"/>
        </w:rPr>
        <w:t>DSCSA</w:t>
      </w:r>
      <w:r>
        <w:rPr>
          <w:rFonts w:ascii="Times New Roman" w:hAnsi="Times New Roman"/>
          <w:sz w:val="20"/>
        </w:rPr>
        <w:t xml:space="preserve">) was enacted with the aim of building an electronic system to identify and trace certain prescription drugs distributed in the United States. The DSCSA mandates phased-in and resource-intensive obligations for pharmaceutical manufacturers, wholesale distributors, and dispensers over a 10 year period that is expected to culminate in November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Patent Term Restoration and Marketing Exclusivity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the FDA approval of the use of our product candidates, some of our U.S. patents, if granted,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NDA. </w:t>
      </w:r>
    </w:p>
    <w:p>
      <w:pPr>
        <w:pStyle w:val="TextBody"/>
        <w:bidi w:val="0"/>
        <w:spacing w:before="240" w:after="0"/>
        <w:jc w:val="left"/>
        <w:rPr>
          <w:rFonts w:ascii="Times New Roman" w:hAnsi="Times New Roman"/>
          <w:sz w:val="20"/>
        </w:rPr>
      </w:pPr>
      <w:r>
        <w:rPr>
          <w:rFonts w:ascii="Times New Roman" w:hAnsi="Times New Roman"/>
          <w:sz w:val="20"/>
        </w:rPr>
        <w:t>In addition, the Hatch-Waxman Amendments to the FDCA authorized the FDA to approve generic drugs that are the same as drugs previously approved by the FDA under the NDA provisions of the statute and also enacted Section 505(b)(2) of the FDCA. To obtain approval of a generic drug, an applicant must submit an abbreviated new drug application (</w:t>
      </w:r>
      <w:r>
        <w:rPr>
          <w:rFonts w:ascii="Times New Roman" w:hAnsi="Times New Roman"/>
          <w:b/>
          <w:sz w:val="20"/>
        </w:rPr>
        <w:t>ANDA</w:t>
      </w:r>
      <w:r>
        <w:rPr>
          <w:rFonts w:ascii="Times New Roman" w:hAnsi="Times New Roman"/>
          <w:sz w:val="20"/>
        </w:rPr>
        <w:t>), to the agency. In support of such applications, a generic manufacturer may rely on the preclinical and clinical testing conducted for a drug product previously approved under an NDA, known as the reference listed drug (</w:t>
      </w:r>
      <w:r>
        <w:rPr>
          <w:rFonts w:ascii="Times New Roman" w:hAnsi="Times New Roman"/>
          <w:b/>
          <w:sz w:val="20"/>
        </w:rPr>
        <w:t>RLD</w:t>
      </w:r>
      <w:r>
        <w:rPr>
          <w:rFonts w:ascii="Times New Roman" w:hAnsi="Times New Roman"/>
          <w:sz w:val="20"/>
        </w:rPr>
        <w:t xml:space="preserve">). Specifically, in order for an ANDA to be approved, the FDA must find that the generic version is identical to the RLD with respect to the active ingredients, the route of administration, the dosage form, and the strength of the drug. In contrast, Section 505(b)(2) permits the filing of an NDA where at least some of the information required for approval comes from studies not conducted by or for the applicant and for which the applicant has not obtained a right of reference. A Section 505(b)(2) applicant may eliminate the need to conduct certain preclinical or clinical studies, if it can establish that reliance on studies conducted for a previously-approved product is scientifically appropriate. Unlike the ANDA pathway used by developers of bioequivalent versions of innovator drugs, which does not allow applicants to submit new clinical data other than bioavailability or bioequivalence data, the 505(b)(2) regulatory pathway does not preclude the possibility that a follow-on applicant would need to conduct additional clinical trials or nonclinical studies; for example, they may be seeking approval to market a previously approved drug for new indications or for a new patient population that would require new clinical data to demonstrate safety or effectiveness. The FDA may then approve the new product for all or some of the label indications for which the RLD has been approved, or for any new indication sought by the Section 505(b)(2) applicant, as applicable Market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an ANDA or a 505(b)(2) NDA submitted by another company for another drug based on the same active moiety, regardless of whether the drug is intended for the same indication as the RLD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RLD holder. The FDCA also provides three years of marketing exclusivity for an NDA, or a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original active agent. Five-year and three-year exclusivity will not delay the submission or approval of a full NDA filed under section 505(b)(1) of the FDCA. However, an applicant submitting a full NDA would be required to either conduct or obtain a right of reference to all of the preclinical studies and adequate and well- controlled clinical trials necessary to demonstrate safety and effectiveness. </w:t>
      </w:r>
    </w:p>
    <w:p>
      <w:pPr>
        <w:pStyle w:val="TextBody"/>
        <w:bidi w:val="0"/>
        <w:spacing w:before="240" w:after="0"/>
        <w:jc w:val="left"/>
        <w:rPr>
          <w:rFonts w:ascii="Times New Roman" w:hAnsi="Times New Roman"/>
          <w:sz w:val="20"/>
        </w:rPr>
      </w:pPr>
      <w:r>
        <w:rPr>
          <w:rFonts w:ascii="Times New Roman" w:hAnsi="Times New Roman"/>
          <w:sz w:val="20"/>
        </w:rPr>
        <w:t xml:space="preserve">Orphan drug exclusivity, as described above, may offer a seven-year period of marketing exclusivity, except in certain circumstances. Pediatric exclusivity is another type of non-patent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Federal and State Fraud and Abuse, Data Privacy and Security, and Transparency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FDA restrictions on marketing of pharmaceutical products, federal and state healthcare laws and regulations restrict business practices in the biopharmaceutical industry. These laws may impact, among other things, our current and future business operations, including our clinical research activities, and proposed sales, marketing and education programs and may constrain the business or financial arrangements and relationships with healthcare providers and other parties through which we market, sell and distribute our products for which we obtain marketing approval. These laws include anti-kickback and false claims laws and regulations, data privacy and security, and transparency laws and regulations, including, without limitation, those laws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Anti-Kickback Statute prohibits any person or entity from, among other things, knowingly and willfully offering, paying, soliciting or receiving remuneration to induce or in return for purchasing, leasing, ordering or arranging for or recommending the purchase, lease or order of any item or service reimbursable under Medicare, Medicaid or other federal healthcare programs. The term remuneration has been broadly interpreted to include anything of value. The U.S. federal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Several courts have interpreted the statutes intent requirement to mean that if any one purpose of an arrangement involving remuneration is to induce referrals of federal healthcare covered business, the statute has been violated.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w:t>
      </w:r>
    </w:p>
    <w:p>
      <w:pPr>
        <w:pStyle w:val="TextBody"/>
        <w:bidi w:val="0"/>
        <w:spacing w:before="240" w:after="0"/>
        <w:jc w:val="left"/>
        <w:rPr>
          <w:rFonts w:ascii="Times New Roman" w:hAnsi="Times New Roman"/>
          <w:sz w:val="20"/>
        </w:rPr>
      </w:pPr>
      <w:r>
        <w:rPr>
          <w:rFonts w:ascii="Times New Roman" w:hAnsi="Times New Roman"/>
          <w:sz w:val="20"/>
        </w:rPr>
        <w:t xml:space="preserve">A person or entity does not need to have actual knowledge of this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federal civil FCA or the civil monetary penalties laws. </w:t>
      </w:r>
    </w:p>
    <w:p>
      <w:pPr>
        <w:pStyle w:val="TextBody"/>
        <w:bidi w:val="0"/>
        <w:spacing w:before="240" w:after="0"/>
        <w:jc w:val="left"/>
        <w:rPr>
          <w:rFonts w:ascii="Times New Roman" w:hAnsi="Times New Roman"/>
          <w:sz w:val="20"/>
        </w:rPr>
      </w:pPr>
      <w:r>
        <w:rPr>
          <w:rFonts w:ascii="Times New Roman" w:hAnsi="Times New Roman"/>
          <w:sz w:val="20"/>
        </w:rPr>
        <w:t xml:space="preserve">Federal civil and criminal false claims laws and civil monetary penalties laws, including the federal civil FCA, prohibit any person or entity from, among other things, knowingly presenting, or causing to be presented, a false claim for payment to the federal government or knowingly making, using or causing to be made or used a false record or statement material to a false or fraudulent claim to the federal government. Actions under these laws may be brought by the Attorney General or as a qui tam action by a private individual in the name of the government. A claim includes any request or demand for money or property presented to the U.S. government. Pharmaceutical and other healthcare companies have been prosecuted under these laws for, among other things, allegedly providing free product to customers with the expectation that the customers would bill federal programs for the product and for causing false claims to be submitted because of the companies marketing of products for unapproved, and thus non-reimbursable, uses. </w:t>
      </w:r>
    </w:p>
    <w:p>
      <w:pPr>
        <w:pStyle w:val="TextBody"/>
        <w:bidi w:val="0"/>
        <w:spacing w:before="240" w:after="0"/>
        <w:jc w:val="left"/>
        <w:rPr>
          <w:rFonts w:ascii="Times New Roman" w:hAnsi="Times New Roman"/>
          <w:sz w:val="20"/>
        </w:rPr>
      </w:pPr>
      <w:r>
        <w:rPr>
          <w:rFonts w:ascii="Times New Roman" w:hAnsi="Times New Roman"/>
          <w:sz w:val="20"/>
        </w:rPr>
        <w:t>The federal Health Insurance Portability and Accountability Act of 1996 (</w:t>
      </w:r>
      <w:r>
        <w:rPr>
          <w:rFonts w:ascii="Times New Roman" w:hAnsi="Times New Roman"/>
          <w:b/>
          <w:sz w:val="20"/>
        </w:rPr>
        <w:t>HIPAA</w:t>
      </w:r>
      <w:r>
        <w:rPr>
          <w:rFonts w:ascii="Times New Roman" w:hAnsi="Times New Roman"/>
          <w:sz w:val="20"/>
        </w:rPr>
        <w:t xml:space="preserve">) also created new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 Kickback Statute, a person or entity does not need to have actual knowledge of the statute or specific intent to violate it in order to have committed a violation. Also, many states have similar fraud and abuse statutes or regulations that apply to items and services reimbursed under Medicaid and other state programs, or, in several states, apply regardless of the payor.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addition, we may be subject to data privacy and security regulation by both the federal government and the states in which we conduct our business. HIPAA, as amended by the Health Information Technology for Economic and Clinical Health Act (</w:t>
      </w:r>
      <w:r>
        <w:rPr>
          <w:rFonts w:ascii="Times New Roman" w:hAnsi="Times New Roman"/>
          <w:b/>
          <w:sz w:val="20"/>
        </w:rPr>
        <w:t>HITECH</w:t>
      </w:r>
      <w:r>
        <w:rPr>
          <w:rFonts w:ascii="Times New Roman" w:hAnsi="Times New Roman"/>
          <w:sz w:val="20"/>
        </w:rPr>
        <w:t xml:space="preserve">), and their respective implementing regulations, impose specified requirements on certain types of individuals and entities, including covered entities, business associates and their covered subcontractors, relating to the privacy, security and transmission of individually identifiable health information. Among other things, HITECH makes HIPAAs security standards directly applicable to business associates, defined as independent contractors or agents of covered entities, which include certain healthcare providers, healthcare clearinghouses and health plans, that create, receive, maintain or transmit individually identifiable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 In addition, state laws govern the privacy and security of health information in certain circumstances, many of which are not pre-empted by HIPAA, differ from each other in significant ways and may not have the same effect, thus complicating compliance efforts.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federal Physician Payments Sunshine Act, and its implementing regulations, require that certain manufacturers of drugs, devices, biological and medical supplies for which payment is available under Medicare, Medicaid or the Childrens Health Insurance Program (with certain exceptions) annually report information related to certain payments or other transfers of value made or distributed to physicians (currently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 </w:t>
      </w:r>
    </w:p>
    <w:p>
      <w:pPr>
        <w:pStyle w:val="TextBody"/>
        <w:bidi w:val="0"/>
        <w:spacing w:before="240" w:after="0"/>
        <w:jc w:val="left"/>
        <w:rPr>
          <w:rFonts w:ascii="Times New Roman" w:hAnsi="Times New Roman"/>
          <w:sz w:val="20"/>
        </w:rPr>
      </w:pPr>
      <w:r>
        <w:rPr>
          <w:rFonts w:ascii="Times New Roman" w:hAnsi="Times New Roman"/>
          <w:sz w:val="20"/>
        </w:rPr>
        <w:t xml:space="preserve">We may also be subject to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and state and </w:t>
      </w:r>
      <w:r>
        <w:rPr>
          <w:rFonts w:ascii="Times New Roman" w:hAnsi="Times New Roman"/>
          <w:b/>
          <w:sz w:val="20"/>
        </w:rPr>
        <w:t xml:space="preserve">local laws </w:t>
      </w:r>
      <w:r>
        <w:rPr>
          <w:rFonts w:ascii="Times New Roman" w:hAnsi="Times New Roman"/>
          <w:sz w:val="20"/>
        </w:rPr>
        <w:t xml:space="preserve">that require the registration of pharmaceutical sales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states require, the registration of manufacturers and wholesale distributors of pharmaceutical products. All of our activities are also potentially subject to federal and state consumer protection and unfair competition laws.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breadth of these laws and the narrowness of available statutory exceptions and regulatory safe harbors, it is possible that some of our business activities could be subject to challenge under one or more of such laws. 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are sold in a foreign country, we may be subject to similar foreign laws and regulations, which may include, for instance, applicable post-marketing requirements, including safety surveillance, anti- fraud and abuse laws, implementation of corporate compliance programs, reporting of payments or transfers of value to healthcare professionals, and additional data privacy and security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Pharmaceutical Coverage, Pricing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Significant uncertainty exists as to the coverage and reimbursement status of any product candidates for which we or our collaborators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drug products.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products,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no uniform policy for coverage and reimbursement exists in the United States, and coverage and reimbursement can differ significantly from payor to payor. As a result,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participate in certain governmental programs, we may be required to participate in discount and rebate programs, which may result in prices for our future products that will likely be lower than the prices we might otherwise obtain. For example, drug manufacturers participating under the Medicaid Drug Rebate Program must pay rebates on prescription drugs to state Medicaid programs. </w:t>
      </w:r>
    </w:p>
    <w:p>
      <w:pPr>
        <w:pStyle w:val="TextBody"/>
        <w:bidi w:val="0"/>
        <w:spacing w:before="240" w:after="0"/>
        <w:jc w:val="left"/>
        <w:rPr>
          <w:rFonts w:ascii="Times New Roman" w:hAnsi="Times New Roman"/>
          <w:sz w:val="20"/>
        </w:rPr>
      </w:pPr>
      <w:r>
        <w:rPr>
          <w:rFonts w:ascii="Times New Roman" w:hAnsi="Times New Roman"/>
          <w:sz w:val="20"/>
        </w:rPr>
        <w:t xml:space="preserve">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drug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 </w:t>
      </w:r>
    </w:p>
    <w:p>
      <w:pPr>
        <w:pStyle w:val="TextBody"/>
        <w:bidi w:val="0"/>
        <w:spacing w:before="240" w:after="0"/>
        <w:jc w:val="left"/>
        <w:rPr>
          <w:rFonts w:ascii="Times New Roman" w:hAnsi="Times New Roman"/>
          <w:sz w:val="20"/>
        </w:rPr>
      </w:pPr>
      <w:r>
        <w:rPr>
          <w:rFonts w:ascii="Times New Roman" w:hAnsi="Times New Roman"/>
          <w:sz w:val="20"/>
        </w:rPr>
        <w:t xml:space="preserve">The marketability of any product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The FDAs and other regulatory authorities policies may change and additional government regulations may be enacted that could prevent, limit or delay regulatory approval of our product candidates. For example, in December 2016, the 21st Century Cures Act (</w:t>
      </w:r>
      <w:r>
        <w:rPr>
          <w:rFonts w:ascii="Times New Roman" w:hAnsi="Times New Roman"/>
          <w:b/>
          <w:sz w:val="20"/>
        </w:rPr>
        <w:t>Cures Act</w:t>
      </w:r>
      <w:r>
        <w:rPr>
          <w:rFonts w:ascii="Times New Roman" w:hAnsi="Times New Roman"/>
          <w:sz w:val="20"/>
        </w:rPr>
        <w:t xml:space="preserve">) was signed into law. The Cures Act, among other things, was intended to modernize the regulation of drugs and devices and to spur innovation. Legislative proposals continue to be discussed in the U.S. Congress as potentially leading to a future Cures 2.0 bill that is expected to have bipartisan support. In addition, in August 2017, the FDA Reauthorization Act was signed into law, which reauthorized the FDAs user fee programs and included additional drug product provisions. The legislative reauthorization was completed in 2022, which reauthorized four of the largest FDA user fee programs for next five-year cycle.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In addition, a primary trend in the U.S. healthcare industry and elsewhere is cost containment. Government authorities and other third-party payors in the United States have attempted to control costs by limiting coverage and the amount of reimbursement for particular medical products and services, implementing reductions in Medicare and other healthcare funding and applying new payment methodologies. For example, in March 2010, the Patient Protection and Affordable Care Act, as amended by the Health Care and Education Reconciliation Act (collectively </w:t>
      </w:r>
      <w:r>
        <w:rPr>
          <w:rFonts w:ascii="Times New Roman" w:hAnsi="Times New Roman"/>
          <w:b/>
          <w:sz w:val="20"/>
        </w:rPr>
        <w:t>Affordable Care Act</w:t>
      </w:r>
      <w:r>
        <w:rPr>
          <w:rFonts w:ascii="Times New Roman" w:hAnsi="Times New Roman"/>
          <w:sz w:val="20"/>
        </w:rPr>
        <w:t xml:space="preserve">), was enacted, which substantially changed the way healthcare is financed by both the government and private insurers, and continues to significantly impact the U.S. pharmaceutical industry. </w:t>
      </w:r>
    </w:p>
    <w:p>
      <w:pPr>
        <w:pStyle w:val="TextBody"/>
        <w:bidi w:val="0"/>
        <w:spacing w:before="240" w:after="0"/>
        <w:jc w:val="left"/>
        <w:rPr>
          <w:rFonts w:ascii="Times New Roman" w:hAnsi="Times New Roman"/>
          <w:sz w:val="20"/>
        </w:rPr>
      </w:pPr>
      <w:r>
        <w:rPr>
          <w:rFonts w:ascii="Times New Roman" w:hAnsi="Times New Roman"/>
          <w:sz w:val="20"/>
        </w:rPr>
        <w:t>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to the Department of Health and Human Services (</w:t>
      </w:r>
      <w:r>
        <w:rPr>
          <w:rFonts w:ascii="Times New Roman" w:hAnsi="Times New Roman"/>
          <w:b/>
          <w:sz w:val="20"/>
        </w:rPr>
        <w:t>HHS</w:t>
      </w:r>
      <w:r>
        <w:rPr>
          <w:rFonts w:ascii="Times New Roman" w:hAnsi="Times New Roman"/>
          <w:sz w:val="20"/>
        </w:rPr>
        <w:t xml:space="preserve">) beginning on January 1, 2022, subject to enforcement via civil money penalties. </w:t>
      </w:r>
    </w:p>
    <w:p>
      <w:pPr>
        <w:pStyle w:val="TextBody"/>
        <w:bidi w:val="0"/>
        <w:spacing w:before="240" w:after="0"/>
        <w:jc w:val="left"/>
        <w:rPr>
          <w:rFonts w:ascii="Times New Roman" w:hAnsi="Times New Roman"/>
          <w:sz w:val="20"/>
        </w:rPr>
      </w:pPr>
      <w:r>
        <w:rPr>
          <w:rFonts w:ascii="Times New Roman" w:hAnsi="Times New Roman"/>
          <w:sz w:val="20"/>
        </w:rPr>
        <w:t>There have been executive, judicial and Congressional challenges to certain aspects of the Affordable Care Act since its enactment, and it is possible that there will be additional challenges and amendments to the Affordable Care Act in the future. For example, the Tax Act repealed penalties, for not complying with the Affordable Care Acts individual mandate to carry health insurance, commonly referred to as the individual mandate. Following several years of litigation in the federal courts, in June 2021 the U.S. Supreme Court upheld the Affordable Care Act when it dismissed a legal challenge on procedural grounds to the Affordable Care Acts constitutionality following the legislative repeal of the individual mandate. Prior to the Supreme Courts decision, President Biden issued an executive order that initiated a special enrollment period for purposes of obtaining health insurance coverage through the Affordable Care Act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On August 16, 2022, President Biden signed the Inflation Reduction Act of 2022 (</w:t>
      </w:r>
      <w:r>
        <w:rPr>
          <w:rFonts w:ascii="Times New Roman" w:hAnsi="Times New Roman"/>
          <w:b/>
          <w:sz w:val="20"/>
        </w:rPr>
        <w:t>IRA</w:t>
      </w:r>
      <w:r>
        <w:rPr>
          <w:rFonts w:ascii="Times New Roman" w:hAnsi="Times New Roman"/>
          <w:sz w:val="20"/>
        </w:rPr>
        <w:t xml:space="preserve">)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Affordable Care Act will be subject to additional challenges in the future. It is unclear how any such challenges and the healthcare reform measures of the Biden administration will impact the Affordable Care Act, our business, or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Other legislative changes have also been proposed and adopted in the United States since the Affordable Care Act was enacted that affect health care expenditures. These changes include aggregate reductions to Medicare payments to providers of up to 2% per fiscal year pursuant to the Budget Control Act of 2011, which began in 2013 and will remain in effect until 2032, unless additional Congressional action is taken. </w:t>
      </w:r>
    </w:p>
    <w:p>
      <w:pPr>
        <w:pStyle w:val="TextBody"/>
        <w:bidi w:val="0"/>
        <w:spacing w:before="240" w:after="0"/>
        <w:jc w:val="left"/>
        <w:rPr>
          <w:rFonts w:ascii="Times New Roman" w:hAnsi="Times New Roman"/>
          <w:sz w:val="20"/>
        </w:rPr>
      </w:pPr>
      <w:r>
        <w:rPr>
          <w:rFonts w:ascii="Times New Roman" w:hAnsi="Times New Roman"/>
          <w:sz w:val="20"/>
        </w:rPr>
        <w:t xml:space="preserve">There has been heightened governmental scrutiny recently over the manner in which pharmaceutical companies set prices for their marketed products, which has resulted in several Congressional inquiries, presidential executive orders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w:t>
      </w:r>
    </w:p>
    <w:p>
      <w:pPr>
        <w:pStyle w:val="TextBody"/>
        <w:bidi w:val="0"/>
        <w:spacing w:before="240" w:after="0"/>
        <w:jc w:val="left"/>
        <w:rPr>
          <w:rFonts w:ascii="Times New Roman" w:hAnsi="Times New Roman"/>
          <w:sz w:val="20"/>
        </w:rPr>
      </w:pPr>
      <w:r>
        <w:rPr>
          <w:rFonts w:ascii="Times New Roman" w:hAnsi="Times New Roman"/>
          <w:sz w:val="20"/>
        </w:rPr>
        <w:t xml:space="preserve">At the federal level, in July 2021, President Biden issued a sweeping executive order on promoting competition in the American economy that includes several mandates pertaining to the pharmaceutical and healthcare insurance industries. Among other things, the executive order directs the FDA to work towards implement a system for importing drugs from Canada (following on a Trump administration notice-and-comment rulemaking on Canadian drug importation that was finalized in October 2020). The Biden order includes several directives regarding the Federal Trade Commissions oversight of potentially anticompetitive practices within the pharmaceutical industry. In response to President Bidens executive order, on September 9, 2021, HHS released a Comprehensive Plan for Addressing High Drug Prices that outlines principles for drug pricing reform and sets out a variety of potential legislative policies that Congress could pursue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 Medicare drug price negotiation program is currently subject to legal challenges. It is currently unclear how the IRA will be implemented but is likely to have a significant impact on the pharmaceutical industry. Further, in response to the Biden administrations October 2022 executive order, on February 14, 2023, HHS released a report outlining three new models for testing by the Centers for Medicare &amp; Medicaid Innovation Center which will be evaluated on their ability to lower the cost of drugs, promote accessibility, and improve quality of care. It is unclear whether the models will be utilized in any health reform measures in the future.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likelihood, nature or extent of government regulation that may arise from future legislation or administrative or executive action. We anticipate that such new laws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In addition, it is possible that there will be further legislation or regulation that could harm our business, financial condition, and results of operations. Additionally, health reform initiatives may arise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Privacy and Security Laws </w:t>
      </w:r>
    </w:p>
    <w:p>
      <w:pPr>
        <w:pStyle w:val="TextBody"/>
        <w:bidi w:val="0"/>
        <w:spacing w:before="120" w:after="0"/>
        <w:jc w:val="left"/>
        <w:rPr>
          <w:rFonts w:ascii="Times New Roman" w:hAnsi="Times New Roman"/>
          <w:sz w:val="20"/>
        </w:rPr>
      </w:pPr>
      <w:r>
        <w:rPr>
          <w:rFonts w:ascii="Times New Roman" w:hAnsi="Times New Roman"/>
          <w:sz w:val="20"/>
        </w:rPr>
        <w:t>In the United States and in addition to federal laws described above, state laws govern the privacy and security of health information in specified circumstances, many of which differ from each other in significant ways and may not have the same effect, thus complicating compliance efforts. For instance, California recently enacted the California Consumer Privacy Act (</w:t>
      </w:r>
      <w:r>
        <w:rPr>
          <w:rFonts w:ascii="Times New Roman" w:hAnsi="Times New Roman"/>
          <w:b/>
          <w:sz w:val="20"/>
        </w:rPr>
        <w:t>CCPA</w:t>
      </w:r>
      <w:r>
        <w:rPr>
          <w:rFonts w:ascii="Times New Roman" w:hAnsi="Times New Roman"/>
          <w:sz w:val="20"/>
        </w:rPr>
        <w:t>), which went into effect on January 1, 2020. The CCPA creates new individual privacy rights for California consumers (as defined in the law) and places increased privacy and security obligations on entities handling certain personal information of consumers or households. The CCPA, among other things, creates new data privacy obligations for covered companies and provides new privacy rights to California residents, including the right to access and delete their personal information, opt out of certain personal information sharing, and receive detailed information about how their personal information is used. The CCPA also creates a private right of action with statutory damages for certain data breaches, thereby potentially increasing risks associated with a data breach. Further, a new privacy law, the California Privacy Rights Act (</w:t>
      </w:r>
      <w:r>
        <w:rPr>
          <w:rFonts w:ascii="Times New Roman" w:hAnsi="Times New Roman"/>
          <w:b/>
          <w:sz w:val="20"/>
        </w:rPr>
        <w:t>CPRA</w:t>
      </w:r>
      <w:r>
        <w:rPr>
          <w:rFonts w:ascii="Times New Roman" w:hAnsi="Times New Roman"/>
          <w:sz w:val="20"/>
        </w:rPr>
        <w:t xml:space="preserve">), was approved by California voters on November 3, 2020. When it goes into effect on January 1, 2023, the CPRA will modify significantly the CCPA, potentially resulting in further uncertainty and requiring us to incur additional costs and expenses in an effort to comply. Both the CCPA and CPRA could impact our business activities depending on how they are interpreted and exemplifies the vulnerability of our business to not only cyber threats but also the evolving regulatory environment related to personal data and protected health information. Other states have begun enacting their own laws similar to the CCPA, and to date both the Virginia and Colorado legislatures have passed such sweeping measures. </w:t>
      </w:r>
    </w:p>
    <w:p>
      <w:pPr>
        <w:pStyle w:val="TextBody"/>
        <w:bidi w:val="0"/>
        <w:spacing w:before="240" w:after="0"/>
        <w:jc w:val="left"/>
        <w:rPr>
          <w:rFonts w:ascii="Times New Roman" w:hAnsi="Times New Roman"/>
          <w:sz w:val="20"/>
        </w:rPr>
      </w:pPr>
      <w:r>
        <w:rPr>
          <w:rFonts w:ascii="Times New Roman" w:hAnsi="Times New Roman"/>
          <w:sz w:val="20"/>
        </w:rPr>
        <w:t>We also are or will become subject to applicable privacy laws in the jurisdictions in which we are established or in which we sell or market our products or run clinical trials. For example, if we conduct EU-based clinical trials, we will be subject to the General Data Protection Regulation (</w:t>
      </w:r>
      <w:r>
        <w:rPr>
          <w:rFonts w:ascii="Times New Roman" w:hAnsi="Times New Roman"/>
          <w:b/>
          <w:sz w:val="20"/>
        </w:rPr>
        <w:t>GDPR</w:t>
      </w:r>
      <w:r>
        <w:rPr>
          <w:rFonts w:ascii="Times New Roman" w:hAnsi="Times New Roman"/>
          <w:sz w:val="20"/>
        </w:rPr>
        <w:t>) in relation to our collection, control, processing and other use of personal data of data participants within the European Economic Area (</w:t>
      </w:r>
      <w:r>
        <w:rPr>
          <w:rFonts w:ascii="Times New Roman" w:hAnsi="Times New Roman"/>
          <w:b/>
          <w:sz w:val="20"/>
        </w:rPr>
        <w:t>EEA</w:t>
      </w:r>
      <w:r>
        <w:rPr>
          <w:rFonts w:ascii="Times New Roman" w:hAnsi="Times New Roman"/>
          <w:sz w:val="20"/>
        </w:rPr>
        <w:t xml:space="preserve">) (i.e. data relating to an identifiable living individual). We process personal data in relation to participants in our clinical trials in the EEA, including the health and medical information of these participants. The GDPR is directly applicable in each EU and EEA Member State, however, it provides that EU and EEA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onerous accountability obligations requiring data controllers and processors to maintain a record of their data processing activities and implement policies as part of its mandated privacy governance framework. It also requires data controllers to be transparent and disclose to data participants (in a concise, intelligible and easily accessible form) how their personal data is to be used, imposes limitations on retention of personal data; defines for the first time pseudonymized (i.e., key-coded) data; introduces mandatory data breach notification requirements; and sets higher standards for data controllers to demonstrate that they have obtained valid consent for certain data processing activities. If in the future we conducted clinical trials in the EU we would be subject to EU rules with respect to cross-border transfers of personal data out of the EU and EEA. We would be subject to the supervision of local data protection authorities in those EU jurisdictions where we conduct our trials or are otherwise subject to the GDPR. Fines for certain breaches of the GDPR are significant: up to the greater of 20 million or 4% of total global annual turnover. In addition to the foregoing, a breach of the GDPR or other applicable privacy and data protection laws and regulations could result in regulatory investigations, reputational damage, orders to cease/change our use of data, enforcement notices, or potential civil claims including class action type litigation.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GDPR includes restrictions on cross-border data transfers. Certain aspects of cross-border data transfers under the GDPR are uncertain as the result of legal proceedings in the EU, including a recent decision by the Court of Justice for the EU that invalidated the EU-U.S. Privacy Shield and, to some extent, called into question the efficacy and legality of using standard contract clauses. This may increase the complexity of transferring personal data across borders. The GDPR will increase our responsibility and liability in relation to personal data that we process where such processing is subject to the GDPR, and we may be required to put in place additional mechanisms to ensure compliance with the GDPR, including as implemented by individual countries. Switzerland has adopted similar restrictions under the DPA. Although there are legal mechanisms to allow for the transfer of personal data from the EEA to the United States, they are subject to legal challenges and uncertainty about compliance with EU data protection laws remains. There are similar uncertainties around data transfers to and from the United Kingdom following its departure from the EU and the end of the transition period. </w:t>
      </w:r>
    </w:p>
    <w:p>
      <w:pPr>
        <w:pStyle w:val="TextBody"/>
        <w:bidi w:val="0"/>
        <w:spacing w:before="240" w:after="0"/>
        <w:jc w:val="left"/>
        <w:rPr>
          <w:rFonts w:ascii="Times New Roman" w:hAnsi="Times New Roman"/>
          <w:sz w:val="20"/>
        </w:rPr>
      </w:pPr>
      <w:r>
        <w:rPr>
          <w:rFonts w:ascii="Times New Roman" w:hAnsi="Times New Roman"/>
          <w:sz w:val="20"/>
        </w:rPr>
        <w:t xml:space="preserve">Further, the vote in the United Kingdom in favor of exiting the EU, referred to as Brexit, has created uncertainty with regard to data protection regulation in the United Kingdom. Specifically, while the Data Protection Act of 2018, which implements and complements the GDPR achieved Royal Assent on May 23, 2018 and is now effective in the United Kingdom, aspects of data protection in the United Kingdom, such as the transfer of data from the EEA to the United Kingdom, remain uncertain. Beginning in 2021, the United Kingdom became a third country under the GDPR.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U.S. Foreign Corrupt Practices Act </w:t>
      </w:r>
    </w:p>
    <w:p>
      <w:pPr>
        <w:pStyle w:val="TextBody"/>
        <w:bidi w:val="0"/>
        <w:spacing w:before="120" w:after="0"/>
        <w:jc w:val="left"/>
        <w:rPr>
          <w:rFonts w:ascii="Times New Roman" w:hAnsi="Times New Roman"/>
          <w:sz w:val="20"/>
        </w:rPr>
      </w:pPr>
      <w:r>
        <w:rPr>
          <w:rFonts w:ascii="Times New Roman" w:hAnsi="Times New Roman"/>
          <w:sz w:val="20"/>
        </w:rPr>
        <w:t>The U.S. Foreign Corrupt Practices Act of 1977 (</w:t>
      </w:r>
      <w:r>
        <w:rPr>
          <w:rFonts w:ascii="Times New Roman" w:hAnsi="Times New Roman"/>
          <w:b/>
          <w:sz w:val="20"/>
        </w:rPr>
        <w:t>FCPA</w:t>
      </w:r>
      <w:r>
        <w:rPr>
          <w:rFonts w:ascii="Times New Roman" w:hAnsi="Times New Roman"/>
          <w:sz w:val="20"/>
        </w:rPr>
        <w:t xml:space="preserve">)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Importantly, United States authorities that enforce the FCPA, including the Department of Justice, deem most healthcare professionals and other employees of foreign hospitals, clinics, research facilities and medical schools in countries with public health care or public education systems to be foreign officials under the FCPA. We also may be implicated under the FCPA for activities by our partners, collaborators, contract research organizations, vendors or other agents. If and when we interact with foreign healthcare professionals and researchers in testing and marketing our products abroad, we must have policies and procedures in place sufficient to prevent us and agents acting on our behalf from providing any bribe, gift or gratuity, including excessive or lavish meals, travel or entertainment in connection with marketing our products and services or securing required permits and approvals such as those needed to initiate clinical trials in foreign jurisdictions.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Europe/Rest of World Government Regulation </w:t>
      </w:r>
    </w:p>
    <w:p>
      <w:pPr>
        <w:pStyle w:val="TextBody"/>
        <w:bidi w:val="0"/>
        <w:spacing w:before="120" w:after="0"/>
        <w:jc w:val="left"/>
        <w:rPr>
          <w:rFonts w:ascii="Times New Roman" w:hAnsi="Times New Roman"/>
          <w:sz w:val="20"/>
        </w:rPr>
      </w:pPr>
      <w:r>
        <w:rPr>
          <w:rFonts w:ascii="Times New Roman" w:hAnsi="Times New Roman"/>
          <w:sz w:val="20"/>
        </w:rPr>
        <w:t>In addition to regulations in the United States, we will be subject to a variety of regulations in other jurisdictions governing, among other things, clinical trials and any commercial sales and distribution of our products. Whether or not we or our potential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an application for a clinical trial authorization (</w:t>
      </w:r>
      <w:r>
        <w:rPr>
          <w:rFonts w:ascii="Times New Roman" w:hAnsi="Times New Roman"/>
          <w:b/>
          <w:sz w:val="20"/>
        </w:rPr>
        <w:t>CTA</w:t>
      </w:r>
      <w:r>
        <w:rPr>
          <w:rFonts w:ascii="Times New Roman" w:hAnsi="Times New Roman"/>
          <w:sz w:val="20"/>
        </w:rPr>
        <w:t xml:space="preserve">) much like the IND prior to the commencement of human clinical trials. In the EU, for example, a CTA must be submitted to each countrys national health authority and an application made to an independent ethics committee, much like the FDA and IRB, respectively. Once the CTA is approved in accordance with a countrys requirements and a favorable ethics committee opinion has been issued, clinical trial development may proceed. </w:t>
      </w:r>
    </w:p>
    <w:p>
      <w:pPr>
        <w:pStyle w:val="TextBody"/>
        <w:bidi w:val="0"/>
        <w:spacing w:before="240" w:after="0"/>
        <w:jc w:val="left"/>
        <w:rPr>
          <w:rFonts w:ascii="Times New Roman" w:hAnsi="Times New Roman"/>
          <w:sz w:val="20"/>
        </w:rPr>
      </w:pPr>
      <w:r>
        <w:rPr>
          <w:rFonts w:ascii="Times New Roman" w:hAnsi="Times New Roman"/>
          <w:sz w:val="20"/>
        </w:rPr>
        <w:t>Following the United Kingdoms departure from the EU on January 31, 2020, the United Kingdom followed the same regulations as the EU until the end of 2020, during the so-called Transition Period. As of January 1, 2021, the Medicines and Healthcare products Regulatory Agency (</w:t>
      </w:r>
      <w:r>
        <w:rPr>
          <w:rFonts w:ascii="Times New Roman" w:hAnsi="Times New Roman"/>
          <w:b/>
          <w:sz w:val="20"/>
        </w:rPr>
        <w:t>MHRA</w:t>
      </w:r>
      <w:r>
        <w:rPr>
          <w:rFonts w:ascii="Times New Roman" w:hAnsi="Times New Roman"/>
          <w:sz w:val="20"/>
        </w:rPr>
        <w:t>) is the United Kingdoms standalone medicines and medical devices regulator. As a result of the Northern Ireland protocol, different rules will apply in Northern Ireland than in England, Wales, and Scotland, together, Great Britain (</w:t>
      </w:r>
      <w:r>
        <w:rPr>
          <w:rFonts w:ascii="Times New Roman" w:hAnsi="Times New Roman"/>
          <w:b/>
          <w:sz w:val="20"/>
        </w:rPr>
        <w:t>GB</w:t>
      </w:r>
      <w:r>
        <w:rPr>
          <w:rFonts w:ascii="Times New Roman" w:hAnsi="Times New Roman"/>
          <w:sz w:val="20"/>
        </w:rPr>
        <w:t xml:space="preserve">); broadly, Northern Ireland will continue to follow the EU regulatory regime, but its national competent authority will remain the MHRA. The MHRA has recently published detailed guidance for industry and organizations to follow from January 1, 2021 now that the Transition Period is over, which will be updated as the United Kingdoms regulatory position on medicinal products evolves over time. The guidance includes clinical trials, marketing authorizations, importing, exporting, and pharmacovigilance and is relevant to any business involved in the research, development, or commercialization of medicines in the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To obtain regulatory approval of an investigational drug under EU regulatory systems, we must submit a marketing authorization application either under the so-called centralized or national authorization procedures. </w:t>
      </w:r>
    </w:p>
    <w:p>
      <w:pPr>
        <w:pStyle w:val="TextBody"/>
        <w:bidi w:val="0"/>
        <w:spacing w:before="240" w:after="0"/>
        <w:jc w:val="left"/>
        <w:rPr>
          <w:rFonts w:ascii="Times New Roman" w:hAnsi="Times New Roman"/>
          <w:sz w:val="20"/>
        </w:rPr>
      </w:pPr>
      <w:r>
        <w:rPr>
          <w:rFonts w:ascii="Times New Roman" w:hAnsi="Times New Roman"/>
          <w:i/>
          <w:sz w:val="20"/>
        </w:rPr>
        <w:t>Centralized procedure</w:t>
      </w:r>
      <w:r>
        <w:rPr>
          <w:rFonts w:ascii="Times New Roman" w:hAnsi="Times New Roman"/>
          <w:sz w:val="20"/>
        </w:rPr>
        <w:t xml:space="preserve">. The centralized procedure provides for the grant of a single marketing authorization by the European Commission following a favorable opinion by the EMA that is valid in all EU member states, as well as Iceland, Liechtenstein and Norway. The centralized procedure is compulsory for medicines produced by specified biotechnological processes, products designated as orphan medicinal products, and products with a new active substance indicated for the treatment of specified diseases, such as HIV/AIDS, cancer, diabetes, neurodegenerative disorders or autoimmune diseases, other immune dysfunctions and viral diseases. The centralized procedure is optional for other products that represent a significant therapeutic, scientific or technical innovation, or whose authorization would be in the interest of public health or which contain a new active substance for indications other than those specified to be compulsory. </w:t>
      </w:r>
    </w:p>
    <w:p>
      <w:pPr>
        <w:pStyle w:val="TextBody"/>
        <w:bidi w:val="0"/>
        <w:spacing w:before="240" w:after="0"/>
        <w:jc w:val="left"/>
        <w:rPr>
          <w:rFonts w:ascii="Times New Roman" w:hAnsi="Times New Roman"/>
          <w:sz w:val="20"/>
        </w:rPr>
      </w:pPr>
      <w:r>
        <w:rPr>
          <w:rFonts w:ascii="Times New Roman" w:hAnsi="Times New Roman"/>
          <w:i/>
          <w:sz w:val="20"/>
        </w:rPr>
        <w:t>National authorization procedures</w:t>
      </w:r>
      <w:r>
        <w:rPr>
          <w:rFonts w:ascii="Times New Roman" w:hAnsi="Times New Roman"/>
          <w:sz w:val="20"/>
        </w:rPr>
        <w:t xml:space="preserve">. There are also two other possible routes to authorize medicinal products in several EU countries, which are available for investigational medicinal products that fall outside the scope of the centralized procedure: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Decentralized procedure. Using the decentralized procedure, an applicant may apply for simultaneous authorizations in more than one EU Member State of medicinal products that have not yet been authorized in any EU Member State and that do not fall within the mandatory scope of the centralized procedure.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EMA grants orphan drug designation to promote the development of products for the treatment, prevention or diagnosis of life-threatening or chronically debilitating conditions affecting not more than five in 10,000 people in the EU. In addition, orphan drug designation can be granted if the drug is intended for a life threatening or chronically debilitating condition in the EU and without incentives it is unlikely that sales of the drug in the EU would be sufficient to justify the investment required to develop the drug. Orphan drug designation is only available if there is no other satisfactory method approved in the EU of diagnosing, preventing or treating the condition, or if such a method exists, the proposed orphan drug will be of significant benefit to patients. Orphan drug designation provides opportunities for free or reduced-fee protocol assistance, fee reductions for marketing authorization applications and other post-authorization activities and ten years of market exclusivity following drug approval, which can be extended to 12 years if trials are conducted in accordance with an agreed-upon pediatric investigational plan. The exclusivity period may be reduced to six years if the designation criteria are no longer met, including where it is shown that the product is sufficiently profitable not to justify maintenance of market exclusivity. </w:t>
      </w:r>
    </w:p>
    <w:p>
      <w:pPr>
        <w:pStyle w:val="TextBody"/>
        <w:bidi w:val="0"/>
        <w:spacing w:before="240" w:after="0"/>
        <w:jc w:val="left"/>
        <w:rPr>
          <w:rFonts w:ascii="Times New Roman" w:hAnsi="Times New Roman"/>
          <w:sz w:val="20"/>
        </w:rPr>
      </w:pPr>
      <w:r>
        <w:rPr>
          <w:rFonts w:ascii="Times New Roman" w:hAnsi="Times New Roman"/>
          <w:sz w:val="20"/>
        </w:rPr>
        <w:t xml:space="preserve">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If we or our potential collaborators fail to comply with applicable foreign regulatory requirements, we may be subject to, among other things, fines, suspension or withdrawal of regulatory approvals, product recalls, seizure of products, operating restrictions and criminal prosecution.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headquarters are located in La Jolla, California, where we lease approximately 2400 square feet of office and laboratory space pursuant to a lease agreement. We believe that our existing facilities are adequate for the foreseeable future. As we expand, we believe that suitable additional alternative spaces will be available in the future on commercially reasonable terms, if required.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2023, we had 15 full-time employees, seven of whom were primarily engaged in research and development activities. A total of three employees have an M.D., Ph.D. or Pharm.D. degree. Most of our employees are located in La Jolla, California. None of our employees is represented by a labor union and we consider our employee relations to be good. We also engage various consultants that are primarily engaged in research and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p>
    <w:p>
      <w:pPr>
        <w:pStyle w:val="TextBody"/>
        <w:bidi w:val="0"/>
        <w:spacing w:before="0" w:after="0"/>
        <w:jc w:val="right"/>
        <w:rPr>
          <w:rFonts w:ascii="Times New Roman" w:hAnsi="Times New Roman"/>
          <w:b/>
          <w:sz w:val="20"/>
        </w:rPr>
      </w:pPr>
      <w:bookmarkStart w:id="6" w:name="d441914dex992.htm"/>
      <w:bookmarkStart w:id="7" w:name="ksd441914dex992"/>
      <w:bookmarkEnd w:id="6"/>
      <w:bookmarkEnd w:id="7"/>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the Board of Directors of CalciMedica,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balance sheets of CalciMedica, Inc. (the Company) as of December 31, 2022 and 2021, the related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2022 and 2021, and the results of its operations and its cash flows for the years then ended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Restatement of 2022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2 to the financial statements, the 2022 financial statements have been restated to correct misstatements in the value of the convertible promissory notes and warrant liability as of December 31, 2022 and net loss and comprehensive loss attributable to common stockholders and net loss per share attributable to common stockholders for the year ended December 31, 2022.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2008.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April 4, 2023, except for Note 2, as to which the date is May 12, 2023, and the effects of the exchange ratio described in Note 3, as to which the date is August 11, 2023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CalciMedica, Inc. </w:t>
      </w:r>
    </w:p>
    <w:p>
      <w:pPr>
        <w:pStyle w:val="TextBody"/>
        <w:bidi w:val="0"/>
        <w:spacing w:before="0" w:after="0"/>
        <w:jc w:val="center"/>
        <w:rPr>
          <w:rFonts w:ascii="Times New Roman" w:hAnsi="Times New Roman"/>
          <w:b/>
          <w:sz w:val="20"/>
        </w:rPr>
      </w:pPr>
      <w:r>
        <w:rPr>
          <w:rFonts w:ascii="Times New Roman" w:hAnsi="Times New Roman"/>
          <w:b/>
          <w:sz w:val="20"/>
        </w:rPr>
        <w:t xml:space="preserve">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84"/>
        <w:gridCol w:w="361"/>
        <w:gridCol w:w="195"/>
        <w:gridCol w:w="1224"/>
        <w:gridCol w:w="155"/>
        <w:gridCol w:w="310"/>
        <w:gridCol w:w="195"/>
        <w:gridCol w:w="1224"/>
        <w:gridCol w:w="157"/>
      </w:tblGrid>
      <w:tr>
        <w:trPr/>
        <w:tc>
          <w:tcPr>
            <w:tcW w:w="6384"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8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55"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2021</w:t>
            </w:r>
          </w:p>
        </w:tc>
        <w:tc>
          <w:tcPr>
            <w:tcW w:w="157" w:type="dxa"/>
            <w:tcBorders/>
            <w:vAlign w:val="bottom"/>
          </w:tcPr>
          <w:p>
            <w:pPr>
              <w:pStyle w:val="TableContents"/>
              <w:bidi w:val="0"/>
              <w:spacing w:before="0" w:after="283"/>
              <w:jc w:val="left"/>
              <w:rPr/>
            </w:pPr>
            <w:r>
              <w:rPr/>
              <w:t> </w:t>
            </w:r>
          </w:p>
        </w:tc>
      </w:tr>
      <w:tr>
        <w:trPr/>
        <w:tc>
          <w:tcPr>
            <w:tcW w:w="638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19"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w:t>
            </w:r>
          </w:p>
          <w:p>
            <w:pPr>
              <w:pStyle w:val="TableContents"/>
              <w:bidi w:val="0"/>
              <w:spacing w:before="0" w:after="20"/>
              <w:jc w:val="center"/>
              <w:rPr>
                <w:rFonts w:ascii="Times New Roman" w:hAnsi="Times New Roman"/>
                <w:sz w:val="16"/>
              </w:rPr>
            </w:pPr>
            <w:r>
              <w:rPr>
                <w:rFonts w:ascii="Times New Roman" w:hAnsi="Times New Roman"/>
                <w:sz w:val="16"/>
              </w:rPr>
              <w:t>Restated)</w:t>
            </w:r>
          </w:p>
        </w:tc>
        <w:tc>
          <w:tcPr>
            <w:tcW w:w="155"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19"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1,327</w:t>
            </w:r>
          </w:p>
        </w:tc>
        <w:tc>
          <w:tcPr>
            <w:tcW w:w="155"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4,761</w:t>
            </w:r>
          </w:p>
        </w:tc>
        <w:tc>
          <w:tcPr>
            <w:tcW w:w="157" w:type="dxa"/>
            <w:tcBorders/>
            <w:shd w:fill="CCEEFF" w:val="clear"/>
            <w:vAlign w:val="bottom"/>
          </w:tcPr>
          <w:p>
            <w:pPr>
              <w:pStyle w:val="TableContents"/>
              <w:bidi w:val="0"/>
              <w:spacing w:before="0" w:after="283"/>
              <w:jc w:val="left"/>
              <w:rPr/>
            </w:pPr>
            <w:r>
              <w:rPr/>
              <w:t> </w:t>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149</w:t>
            </w:r>
          </w:p>
        </w:tc>
        <w:tc>
          <w:tcPr>
            <w:tcW w:w="155"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254</w:t>
            </w:r>
          </w:p>
        </w:tc>
        <w:tc>
          <w:tcPr>
            <w:tcW w:w="155"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170</w:t>
            </w:r>
          </w:p>
        </w:tc>
        <w:tc>
          <w:tcPr>
            <w:tcW w:w="157" w:type="dxa"/>
            <w:tcBorders/>
            <w:shd w:fill="CCEEFF" w:val="clear"/>
            <w:vAlign w:val="bottom"/>
          </w:tcPr>
          <w:p>
            <w:pPr>
              <w:pStyle w:val="TableContents"/>
              <w:bidi w:val="0"/>
              <w:spacing w:before="0" w:after="283"/>
              <w:jc w:val="left"/>
              <w:rPr/>
            </w:pPr>
            <w:r>
              <w:rPr/>
              <w:t> </w:t>
            </w:r>
          </w:p>
        </w:tc>
      </w:tr>
      <w:tr>
        <w:trPr/>
        <w:tc>
          <w:tcPr>
            <w:tcW w:w="638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1,730</w:t>
            </w:r>
          </w:p>
        </w:tc>
        <w:tc>
          <w:tcPr>
            <w:tcW w:w="155"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4,931</w:t>
            </w:r>
          </w:p>
        </w:tc>
        <w:tc>
          <w:tcPr>
            <w:tcW w:w="157" w:type="dxa"/>
            <w:tcBorders/>
            <w:vAlign w:val="bottom"/>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147</w:t>
            </w:r>
          </w:p>
        </w:tc>
        <w:tc>
          <w:tcPr>
            <w:tcW w:w="155"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195</w:t>
            </w:r>
          </w:p>
        </w:tc>
        <w:tc>
          <w:tcPr>
            <w:tcW w:w="157" w:type="dxa"/>
            <w:tcBorders/>
            <w:shd w:fill="CCEEFF" w:val="clear"/>
            <w:vAlign w:val="bottom"/>
          </w:tcPr>
          <w:p>
            <w:pPr>
              <w:pStyle w:val="TableContents"/>
              <w:bidi w:val="0"/>
              <w:spacing w:before="0" w:after="283"/>
              <w:jc w:val="left"/>
              <w:rPr/>
            </w:pPr>
            <w:r>
              <w:rPr/>
              <w:t> </w:t>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 net</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191</w:t>
            </w:r>
          </w:p>
        </w:tc>
        <w:tc>
          <w:tcPr>
            <w:tcW w:w="157" w:type="dxa"/>
            <w:tcBorders/>
            <w:vAlign w:val="bottom"/>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1,424</w:t>
            </w:r>
          </w:p>
        </w:tc>
        <w:tc>
          <w:tcPr>
            <w:tcW w:w="155"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1,147</w:t>
            </w:r>
          </w:p>
        </w:tc>
        <w:tc>
          <w:tcPr>
            <w:tcW w:w="157" w:type="dxa"/>
            <w:tcBorders/>
            <w:shd w:fill="CCEEFF" w:val="clear"/>
            <w:vAlign w:val="bottom"/>
          </w:tcPr>
          <w:p>
            <w:pPr>
              <w:pStyle w:val="TableContents"/>
              <w:bidi w:val="0"/>
              <w:spacing w:before="0" w:after="283"/>
              <w:jc w:val="left"/>
              <w:rPr/>
            </w:pPr>
            <w:r>
              <w:rPr/>
              <w:t> </w:t>
            </w:r>
          </w:p>
        </w:tc>
      </w:tr>
      <w:tr>
        <w:trPr/>
        <w:tc>
          <w:tcPr>
            <w:tcW w:w="638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1224" w:type="dxa"/>
            <w:tcBorders/>
            <w:vAlign w:val="bottom"/>
          </w:tcPr>
          <w:p>
            <w:pPr>
              <w:pStyle w:val="TableContents"/>
              <w:bidi w:val="0"/>
              <w:spacing w:before="0" w:after="283"/>
              <w:jc w:val="right"/>
              <w:rPr>
                <w:b/>
              </w:rPr>
            </w:pPr>
            <w:r>
              <w:rPr>
                <w:b/>
              </w:rPr>
              <w:t>3,349</w:t>
            </w:r>
          </w:p>
        </w:tc>
        <w:tc>
          <w:tcPr>
            <w:tcW w:w="155"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1224" w:type="dxa"/>
            <w:tcBorders/>
            <w:vAlign w:val="bottom"/>
          </w:tcPr>
          <w:p>
            <w:pPr>
              <w:pStyle w:val="TableContents"/>
              <w:bidi w:val="0"/>
              <w:spacing w:before="0" w:after="283"/>
              <w:jc w:val="right"/>
              <w:rPr>
                <w:b/>
              </w:rPr>
            </w:pPr>
            <w:r>
              <w:rPr>
                <w:b/>
              </w:rPr>
              <w:t>6,464</w:t>
            </w:r>
          </w:p>
        </w:tc>
        <w:tc>
          <w:tcPr>
            <w:tcW w:w="157" w:type="dxa"/>
            <w:tcBorders/>
            <w:vAlign w:val="bottom"/>
          </w:tcPr>
          <w:p>
            <w:pPr>
              <w:pStyle w:val="TableContents"/>
              <w:bidi w:val="0"/>
              <w:spacing w:before="0" w:after="283"/>
              <w:jc w:val="left"/>
              <w:rPr/>
            </w:pPr>
            <w:r>
              <w:rPr/>
              <w:t> </w:t>
            </w:r>
          </w:p>
        </w:tc>
      </w:tr>
      <w:tr>
        <w:trPr/>
        <w:tc>
          <w:tcPr>
            <w:tcW w:w="638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2,866</w:t>
            </w:r>
          </w:p>
        </w:tc>
        <w:tc>
          <w:tcPr>
            <w:tcW w:w="155"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1,933</w:t>
            </w:r>
          </w:p>
        </w:tc>
        <w:tc>
          <w:tcPr>
            <w:tcW w:w="157" w:type="dxa"/>
            <w:tcBorders/>
            <w:shd w:fill="CCEEFF" w:val="clear"/>
            <w:vAlign w:val="bottom"/>
          </w:tcPr>
          <w:p>
            <w:pPr>
              <w:pStyle w:val="TableContents"/>
              <w:bidi w:val="0"/>
              <w:spacing w:before="0" w:after="283"/>
              <w:jc w:val="left"/>
              <w:rPr/>
            </w:pPr>
            <w:r>
              <w:rPr/>
              <w:t> </w:t>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1,715</w:t>
            </w:r>
          </w:p>
        </w:tc>
        <w:tc>
          <w:tcPr>
            <w:tcW w:w="155"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1,829</w:t>
            </w:r>
          </w:p>
        </w:tc>
        <w:tc>
          <w:tcPr>
            <w:tcW w:w="157" w:type="dxa"/>
            <w:tcBorders/>
            <w:vAlign w:val="bottom"/>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199</w:t>
            </w:r>
          </w:p>
        </w:tc>
        <w:tc>
          <w:tcPr>
            <w:tcW w:w="155"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156</w:t>
            </w:r>
          </w:p>
        </w:tc>
        <w:tc>
          <w:tcPr>
            <w:tcW w:w="157" w:type="dxa"/>
            <w:tcBorders/>
            <w:shd w:fill="CCEEFF" w:val="clear"/>
            <w:vAlign w:val="bottom"/>
          </w:tcPr>
          <w:p>
            <w:pPr>
              <w:pStyle w:val="TableContents"/>
              <w:bidi w:val="0"/>
              <w:spacing w:before="0" w:after="283"/>
              <w:jc w:val="left"/>
              <w:rPr/>
            </w:pPr>
            <w:r>
              <w:rPr/>
              <w:t> </w:t>
            </w:r>
          </w:p>
        </w:tc>
      </w:tr>
      <w:tr>
        <w:trPr/>
        <w:tc>
          <w:tcPr>
            <w:tcW w:w="638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4,780</w:t>
            </w:r>
          </w:p>
        </w:tc>
        <w:tc>
          <w:tcPr>
            <w:tcW w:w="155"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3,918</w:t>
            </w:r>
          </w:p>
        </w:tc>
        <w:tc>
          <w:tcPr>
            <w:tcW w:w="157" w:type="dxa"/>
            <w:tcBorders/>
            <w:vAlign w:val="bottom"/>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2,645</w:t>
            </w:r>
          </w:p>
        </w:tc>
        <w:tc>
          <w:tcPr>
            <w:tcW w:w="155"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4,423</w:t>
            </w:r>
          </w:p>
        </w:tc>
        <w:tc>
          <w:tcPr>
            <w:tcW w:w="157" w:type="dxa"/>
            <w:tcBorders/>
            <w:vAlign w:val="bottom"/>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promissory notes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5,157</w:t>
            </w:r>
          </w:p>
        </w:tc>
        <w:tc>
          <w:tcPr>
            <w:tcW w:w="155"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Other long term liabilities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39</w:t>
            </w:r>
          </w:p>
        </w:tc>
        <w:tc>
          <w:tcPr>
            <w:tcW w:w="157" w:type="dxa"/>
            <w:tcBorders/>
            <w:vAlign w:val="bottom"/>
          </w:tcPr>
          <w:p>
            <w:pPr>
              <w:pStyle w:val="TableContents"/>
              <w:bidi w:val="0"/>
              <w:spacing w:before="0" w:after="283"/>
              <w:jc w:val="left"/>
              <w:rPr/>
            </w:pPr>
            <w:r>
              <w:rPr/>
              <w:t> </w:t>
            </w:r>
          </w:p>
        </w:tc>
      </w:tr>
      <w:tr>
        <w:trPr/>
        <w:tc>
          <w:tcPr>
            <w:tcW w:w="638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12,582</w:t>
            </w:r>
          </w:p>
        </w:tc>
        <w:tc>
          <w:tcPr>
            <w:tcW w:w="155"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8,380</w:t>
            </w:r>
          </w:p>
        </w:tc>
        <w:tc>
          <w:tcPr>
            <w:tcW w:w="157" w:type="dxa"/>
            <w:tcBorders/>
            <w:shd w:fill="CCEEFF" w:val="clear"/>
            <w:vAlign w:val="bottom"/>
          </w:tcPr>
          <w:p>
            <w:pPr>
              <w:pStyle w:val="TableContents"/>
              <w:bidi w:val="0"/>
              <w:spacing w:before="0" w:after="283"/>
              <w:jc w:val="left"/>
              <w:rPr/>
            </w:pPr>
            <w:r>
              <w:rPr/>
              <w:t> </w:t>
            </w:r>
          </w:p>
        </w:tc>
      </w:tr>
      <w:tr>
        <w:trPr/>
        <w:tc>
          <w:tcPr>
            <w:tcW w:w="638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10)</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 $0.001 par value; 25,751,716 shares authorized, issued and outstanding at December 31, 2022 and December 31, 2021; liquidation preference $19,829 at December 31, 2022</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19,107</w:t>
            </w:r>
          </w:p>
        </w:tc>
        <w:tc>
          <w:tcPr>
            <w:tcW w:w="155"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19,107</w:t>
            </w:r>
          </w:p>
        </w:tc>
        <w:tc>
          <w:tcPr>
            <w:tcW w:w="157" w:type="dxa"/>
            <w:tcBorders/>
            <w:vAlign w:val="bottom"/>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convertible preferred stock, $0.001 par value; 11,235,460 shares authorized and10,667,279 shares issued and outstanding at December 31, 2022 and December 31, 2021; liquidation preference $8,214 at December 31, 2022</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8,224</w:t>
            </w:r>
          </w:p>
        </w:tc>
        <w:tc>
          <w:tcPr>
            <w:tcW w:w="155"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8,224</w:t>
            </w:r>
          </w:p>
        </w:tc>
        <w:tc>
          <w:tcPr>
            <w:tcW w:w="157" w:type="dxa"/>
            <w:tcBorders/>
            <w:shd w:fill="CCEEFF" w:val="clear"/>
            <w:vAlign w:val="bottom"/>
          </w:tcPr>
          <w:p>
            <w:pPr>
              <w:pStyle w:val="TableContents"/>
              <w:bidi w:val="0"/>
              <w:spacing w:before="0" w:after="283"/>
              <w:jc w:val="left"/>
              <w:rPr/>
            </w:pPr>
            <w:r>
              <w:rPr/>
              <w:t> </w:t>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Series C-1 convertible preferred stock, $0.001 par value; 8,016,886 shares authorized, issued and outstanding at December 31, 2022 and December 31, 2021; liquidation preference $4,650 at December 31, 2022</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5,683</w:t>
            </w:r>
          </w:p>
        </w:tc>
        <w:tc>
          <w:tcPr>
            <w:tcW w:w="155"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5,683</w:t>
            </w:r>
          </w:p>
        </w:tc>
        <w:tc>
          <w:tcPr>
            <w:tcW w:w="157" w:type="dxa"/>
            <w:tcBorders/>
            <w:vAlign w:val="bottom"/>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C-2 convertible preferred stock, $0.001 par value; 16,291,526 shares authorized and 13,504,959 issued and outstanding at December 31, 2022 and December 31, 2021; liquidation preference $10,399 at December 31, 2022</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9,563</w:t>
            </w:r>
          </w:p>
        </w:tc>
        <w:tc>
          <w:tcPr>
            <w:tcW w:w="155"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9,563</w:t>
            </w:r>
          </w:p>
        </w:tc>
        <w:tc>
          <w:tcPr>
            <w:tcW w:w="157" w:type="dxa"/>
            <w:tcBorders/>
            <w:shd w:fill="CCEEFF" w:val="clear"/>
            <w:vAlign w:val="bottom"/>
          </w:tcPr>
          <w:p>
            <w:pPr>
              <w:pStyle w:val="TableContents"/>
              <w:bidi w:val="0"/>
              <w:spacing w:before="0" w:after="283"/>
              <w:jc w:val="left"/>
              <w:rPr/>
            </w:pPr>
            <w:r>
              <w:rPr/>
              <w:t> </w:t>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Series D convertible preferred stock, $0.001 par value; 88,875,077 shares authorized and 26,880,040 issued and outstanding at December 31, 2022 and December 31, 2021; liquidation preference $21,625 at December 31, 2022</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19,494</w:t>
            </w:r>
          </w:p>
        </w:tc>
        <w:tc>
          <w:tcPr>
            <w:tcW w:w="155"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19,494</w:t>
            </w:r>
          </w:p>
        </w:tc>
        <w:tc>
          <w:tcPr>
            <w:tcW w:w="157" w:type="dxa"/>
            <w:tcBorders/>
            <w:vAlign w:val="bottom"/>
          </w:tcPr>
          <w:p>
            <w:pPr>
              <w:pStyle w:val="TableContents"/>
              <w:bidi w:val="0"/>
              <w:spacing w:before="0" w:after="283"/>
              <w:jc w:val="left"/>
              <w:rPr/>
            </w:pPr>
            <w:r>
              <w:rPr/>
              <w:t> </w:t>
            </w:r>
          </w:p>
        </w:tc>
      </w:tr>
      <w:tr>
        <w:trPr/>
        <w:tc>
          <w:tcPr>
            <w:tcW w:w="638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convertible preferred stock</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62,071</w:t>
            </w:r>
          </w:p>
        </w:tc>
        <w:tc>
          <w:tcPr>
            <w:tcW w:w="155"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62,071</w:t>
            </w:r>
          </w:p>
        </w:tc>
        <w:tc>
          <w:tcPr>
            <w:tcW w:w="157" w:type="dxa"/>
            <w:tcBorders/>
            <w:shd w:fill="CCEEFF" w:val="clear"/>
            <w:vAlign w:val="bottom"/>
          </w:tcPr>
          <w:p>
            <w:pPr>
              <w:pStyle w:val="TableContents"/>
              <w:bidi w:val="0"/>
              <w:spacing w:before="0" w:after="283"/>
              <w:jc w:val="left"/>
              <w:rPr/>
            </w:pPr>
            <w:r>
              <w:rPr/>
              <w:t> </w:t>
            </w:r>
          </w:p>
        </w:tc>
      </w:tr>
      <w:tr>
        <w:trPr/>
        <w:tc>
          <w:tcPr>
            <w:tcW w:w="638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84"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$0.001 par value; 5,694,626 authorized and 84,165 and 78,527 shares issued and outstanding at December 31, 2022 and December 31, 2021, respectively</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w:t>
            </w:r>
          </w:p>
        </w:tc>
        <w:tc>
          <w:tcPr>
            <w:tcW w:w="157" w:type="dxa"/>
            <w:tcBorders/>
            <w:shd w:fill="CCEEFF" w:val="clear"/>
            <w:vAlign w:val="bottom"/>
          </w:tcPr>
          <w:p>
            <w:pPr>
              <w:pStyle w:val="TableContents"/>
              <w:bidi w:val="0"/>
              <w:spacing w:before="0" w:after="283"/>
              <w:jc w:val="left"/>
              <w:rPr/>
            </w:pPr>
            <w:r>
              <w:rPr/>
              <w:t> </w:t>
            </w:r>
          </w:p>
        </w:tc>
      </w:tr>
      <w:tr>
        <w:trPr/>
        <w:tc>
          <w:tcPr>
            <w:tcW w:w="638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40,402</w:t>
            </w:r>
          </w:p>
        </w:tc>
        <w:tc>
          <w:tcPr>
            <w:tcW w:w="155"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39,895</w:t>
            </w:r>
          </w:p>
        </w:tc>
        <w:tc>
          <w:tcPr>
            <w:tcW w:w="157" w:type="dxa"/>
            <w:tcBorders/>
            <w:vAlign w:val="bottom"/>
          </w:tcPr>
          <w:p>
            <w:pPr>
              <w:pStyle w:val="TableContents"/>
              <w:bidi w:val="0"/>
              <w:spacing w:before="0" w:after="283"/>
              <w:jc w:val="left"/>
              <w:rPr/>
            </w:pPr>
            <w:r>
              <w:rPr/>
              <w:t> </w:t>
            </w:r>
          </w:p>
        </w:tc>
      </w:tr>
      <w:tr>
        <w:trPr/>
        <w:tc>
          <w:tcPr>
            <w:tcW w:w="6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(111,707</w:t>
            </w:r>
          </w:p>
        </w:tc>
        <w:tc>
          <w:tcPr>
            <w:tcW w:w="155"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(103,883</w:t>
            </w:r>
          </w:p>
        </w:tc>
        <w:tc>
          <w:tcPr>
            <w:tcW w:w="157" w:type="dxa"/>
            <w:tcBorders/>
            <w:shd w:fill="CCEEFF" w:val="clear"/>
            <w:vAlign w:val="bottom"/>
          </w:tcPr>
          <w:p>
            <w:pPr>
              <w:pStyle w:val="TableContents"/>
              <w:bidi w:val="0"/>
              <w:spacing w:before="0" w:after="283"/>
              <w:jc w:val="left"/>
              <w:rPr/>
            </w:pPr>
            <w:r>
              <w:rPr/>
              <w:t>) </w:t>
            </w:r>
          </w:p>
        </w:tc>
      </w:tr>
      <w:tr>
        <w:trPr/>
        <w:tc>
          <w:tcPr>
            <w:tcW w:w="638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8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deficit</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b/>
              </w:rPr>
            </w:pPr>
            <w:r>
              <w:rPr>
                <w:b/>
              </w:rPr>
              <w:t>(71,304</w:t>
            </w:r>
          </w:p>
        </w:tc>
        <w:tc>
          <w:tcPr>
            <w:tcW w:w="155" w:type="dxa"/>
            <w:tcBorders/>
            <w:vAlign w:val="bottom"/>
          </w:tcPr>
          <w:p>
            <w:pPr>
              <w:pStyle w:val="TableContents"/>
              <w:bidi w:val="0"/>
              <w:spacing w:before="0" w:after="283"/>
              <w:jc w:val="left"/>
              <w:rPr>
                <w:b/>
              </w:rPr>
            </w:pPr>
            <w:r>
              <w:rPr>
                <w:b/>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b/>
              </w:rPr>
            </w:pPr>
            <w:r>
              <w:rPr>
                <w:b/>
              </w:rPr>
              <w:t>(63,987</w:t>
            </w:r>
          </w:p>
        </w:tc>
        <w:tc>
          <w:tcPr>
            <w:tcW w:w="157" w:type="dxa"/>
            <w:tcBorders/>
            <w:vAlign w:val="bottom"/>
          </w:tcPr>
          <w:p>
            <w:pPr>
              <w:pStyle w:val="TableContents"/>
              <w:bidi w:val="0"/>
              <w:spacing w:before="0" w:after="283"/>
              <w:jc w:val="left"/>
              <w:rPr>
                <w:b/>
              </w:rPr>
            </w:pPr>
            <w:r>
              <w:rPr>
                <w:b/>
              </w:rPr>
              <w:t>) </w:t>
            </w:r>
          </w:p>
        </w:tc>
      </w:tr>
      <w:tr>
        <w:trPr/>
        <w:tc>
          <w:tcPr>
            <w:tcW w:w="638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convertible preferred stock and stockholders deficit</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224" w:type="dxa"/>
            <w:tcBorders/>
            <w:shd w:fill="CCEEFF" w:val="clear"/>
            <w:vAlign w:val="bottom"/>
          </w:tcPr>
          <w:p>
            <w:pPr>
              <w:pStyle w:val="TableContents"/>
              <w:bidi w:val="0"/>
              <w:spacing w:before="0" w:after="283"/>
              <w:jc w:val="right"/>
              <w:rPr>
                <w:b/>
              </w:rPr>
            </w:pPr>
            <w:r>
              <w:rPr>
                <w:b/>
              </w:rPr>
              <w:t>3,349</w:t>
            </w:r>
          </w:p>
        </w:tc>
        <w:tc>
          <w:tcPr>
            <w:tcW w:w="155"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224" w:type="dxa"/>
            <w:tcBorders/>
            <w:shd w:fill="CCEEFF" w:val="clear"/>
            <w:vAlign w:val="bottom"/>
          </w:tcPr>
          <w:p>
            <w:pPr>
              <w:pStyle w:val="TableContents"/>
              <w:bidi w:val="0"/>
              <w:spacing w:before="0" w:after="283"/>
              <w:jc w:val="right"/>
              <w:rPr>
                <w:b/>
              </w:rPr>
            </w:pPr>
            <w:r>
              <w:rPr>
                <w:b/>
              </w:rPr>
              <w:t>6,464</w:t>
            </w:r>
          </w:p>
        </w:tc>
        <w:tc>
          <w:tcPr>
            <w:tcW w:w="157" w:type="dxa"/>
            <w:tcBorders/>
            <w:shd w:fill="CCEEFF" w:val="clear"/>
            <w:vAlign w:val="bottom"/>
          </w:tcPr>
          <w:p>
            <w:pPr>
              <w:pStyle w:val="TableContents"/>
              <w:bidi w:val="0"/>
              <w:spacing w:before="0" w:after="283"/>
              <w:jc w:val="left"/>
              <w:rPr/>
            </w:pPr>
            <w:r>
              <w:rPr/>
              <w:t> </w:t>
            </w:r>
          </w:p>
        </w:tc>
      </w:tr>
      <w:tr>
        <w:trPr/>
        <w:tc>
          <w:tcPr>
            <w:tcW w:w="638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financial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CalciMedica, Inc.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77"/>
        <w:gridCol w:w="158"/>
        <w:gridCol w:w="192"/>
        <w:gridCol w:w="1042"/>
        <w:gridCol w:w="212"/>
        <w:gridCol w:w="129"/>
        <w:gridCol w:w="192"/>
        <w:gridCol w:w="1044"/>
        <w:gridCol w:w="159"/>
      </w:tblGrid>
      <w:tr>
        <w:trPr/>
        <w:tc>
          <w:tcPr>
            <w:tcW w:w="7077"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59"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1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4"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w:t>
            </w:r>
          </w:p>
          <w:p>
            <w:pPr>
              <w:pStyle w:val="TableContents"/>
              <w:bidi w:val="0"/>
              <w:spacing w:before="0" w:after="20"/>
              <w:jc w:val="center"/>
              <w:rPr>
                <w:rFonts w:ascii="Times New Roman" w:hAnsi="Times New Roman"/>
                <w:sz w:val="16"/>
              </w:rPr>
            </w:pPr>
            <w:r>
              <w:rPr>
                <w:rFonts w:ascii="Times New Roman" w:hAnsi="Times New Roman"/>
                <w:sz w:val="16"/>
              </w:rPr>
              <w:t>Restated)</w:t>
            </w:r>
          </w:p>
        </w:tc>
        <w:tc>
          <w:tcPr>
            <w:tcW w:w="21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36"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8,350</w:t>
            </w:r>
          </w:p>
        </w:tc>
        <w:tc>
          <w:tcPr>
            <w:tcW w:w="21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16,477</w:t>
            </w:r>
          </w:p>
        </w:tc>
        <w:tc>
          <w:tcPr>
            <w:tcW w:w="159" w:type="dxa"/>
            <w:tcBorders/>
            <w:vAlign w:val="bottom"/>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5,843</w:t>
            </w:r>
          </w:p>
        </w:tc>
        <w:tc>
          <w:tcPr>
            <w:tcW w:w="21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5,061</w:t>
            </w:r>
          </w:p>
        </w:tc>
        <w:tc>
          <w:tcPr>
            <w:tcW w:w="159"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14,193</w:t>
            </w:r>
          </w:p>
        </w:tc>
        <w:tc>
          <w:tcPr>
            <w:tcW w:w="21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21,538</w:t>
            </w:r>
          </w:p>
        </w:tc>
        <w:tc>
          <w:tcPr>
            <w:tcW w:w="159"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b/>
              </w:rPr>
            </w:pPr>
            <w:r>
              <w:rPr>
                <w:b/>
              </w:rPr>
              <w:t>(14,193</w:t>
            </w:r>
          </w:p>
        </w:tc>
        <w:tc>
          <w:tcPr>
            <w:tcW w:w="212" w:type="dxa"/>
            <w:tcBorders/>
            <w:shd w:fill="CCEEFF" w:val="clear"/>
            <w:vAlign w:val="bottom"/>
          </w:tcPr>
          <w:p>
            <w:pPr>
              <w:pStyle w:val="TableContents"/>
              <w:bidi w:val="0"/>
              <w:spacing w:before="0" w:after="283"/>
              <w:jc w:val="left"/>
              <w:rPr>
                <w:b/>
              </w:rPr>
            </w:pPr>
            <w:r>
              <w:rPr>
                <w:b/>
              </w:rPr>
              <w:t>) </w:t>
            </w:r>
          </w:p>
        </w:tc>
        <w:tc>
          <w:tcPr>
            <w:tcW w:w="12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b/>
              </w:rPr>
            </w:pPr>
            <w:r>
              <w:rPr>
                <w:b/>
              </w:rPr>
              <w:t>(21,538</w:t>
            </w:r>
          </w:p>
        </w:tc>
        <w:tc>
          <w:tcPr>
            <w:tcW w:w="159" w:type="dxa"/>
            <w:tcBorders/>
            <w:shd w:fill="CCEEFF" w:val="clear"/>
            <w:vAlign w:val="bottom"/>
          </w:tcPr>
          <w:p>
            <w:pPr>
              <w:pStyle w:val="TableContents"/>
              <w:bidi w:val="0"/>
              <w:spacing w:before="0" w:after="283"/>
              <w:jc w:val="left"/>
              <w:rPr>
                <w:b/>
              </w:rPr>
            </w:pPr>
            <w:r>
              <w:rPr>
                <w:b/>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 (expense)</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04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3,784</w:t>
            </w:r>
          </w:p>
        </w:tc>
        <w:tc>
          <w:tcPr>
            <w:tcW w:w="21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(1,964</w:t>
            </w:r>
          </w:p>
        </w:tc>
        <w:tc>
          <w:tcPr>
            <w:tcW w:w="159" w:type="dxa"/>
            <w:tcBorders/>
            <w:shd w:fill="CCEEFF" w:val="clear"/>
            <w:vAlign w:val="bottom"/>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promissory notes</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2,745</w:t>
            </w:r>
          </w:p>
        </w:tc>
        <w:tc>
          <w:tcPr>
            <w:tcW w:w="21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convertible promissory notes payable</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(132</w:t>
            </w:r>
          </w:p>
        </w:tc>
        <w:tc>
          <w:tcPr>
            <w:tcW w:w="21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(28</w:t>
            </w:r>
          </w:p>
        </w:tc>
        <w:tc>
          <w:tcPr>
            <w:tcW w:w="21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6,369</w:t>
            </w:r>
          </w:p>
        </w:tc>
        <w:tc>
          <w:tcPr>
            <w:tcW w:w="21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(1,963</w:t>
            </w:r>
          </w:p>
        </w:tc>
        <w:tc>
          <w:tcPr>
            <w:tcW w:w="159"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and comprehensive loss</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b/>
              </w:rPr>
            </w:pPr>
            <w:r>
              <w:rPr>
                <w:b/>
              </w:rPr>
              <w:t>(7,824</w:t>
            </w:r>
          </w:p>
        </w:tc>
        <w:tc>
          <w:tcPr>
            <w:tcW w:w="212"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b/>
              </w:rPr>
            </w:pPr>
            <w:r>
              <w:rPr>
                <w:b/>
              </w:rPr>
              <w:t>(23,501</w:t>
            </w:r>
          </w:p>
        </w:tc>
        <w:tc>
          <w:tcPr>
            <w:tcW w:w="159" w:type="dxa"/>
            <w:tcBorders/>
            <w:vAlign w:val="bottom"/>
          </w:tcPr>
          <w:p>
            <w:pPr>
              <w:pStyle w:val="TableContents"/>
              <w:bidi w:val="0"/>
              <w:spacing w:before="0" w:after="283"/>
              <w:jc w:val="left"/>
              <w:rPr>
                <w:b/>
              </w:rPr>
            </w:pPr>
            <w:r>
              <w:rPr>
                <w:b/>
              </w:rPr>
              <w:t>) </w:t>
            </w:r>
          </w:p>
        </w:tc>
      </w:tr>
      <w:tr>
        <w:trPr/>
        <w:tc>
          <w:tcPr>
            <w:tcW w:w="70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Deemed distribution to convertible promissory note holders</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b/>
              </w:rPr>
            </w:pPr>
            <w:r>
              <w:rPr>
                <w:b/>
              </w:rPr>
              <w:t>(1,318</w:t>
            </w:r>
          </w:p>
        </w:tc>
        <w:tc>
          <w:tcPr>
            <w:tcW w:w="212" w:type="dxa"/>
            <w:tcBorders/>
            <w:shd w:fill="CCEEFF" w:val="clear"/>
            <w:vAlign w:val="bottom"/>
          </w:tcPr>
          <w:p>
            <w:pPr>
              <w:pStyle w:val="TableContents"/>
              <w:bidi w:val="0"/>
              <w:spacing w:before="0" w:after="283"/>
              <w:jc w:val="left"/>
              <w:rPr>
                <w:b/>
              </w:rPr>
            </w:pPr>
            <w:r>
              <w:rPr>
                <w:b/>
              </w:rPr>
              <w:t>) </w:t>
            </w:r>
          </w:p>
        </w:tc>
        <w:tc>
          <w:tcPr>
            <w:tcW w:w="12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b/>
              </w:rPr>
            </w:pPr>
            <w:r>
              <w:rPr>
                <w:b/>
              </w:rPr>
              <w:t>  </w:t>
            </w:r>
          </w:p>
        </w:tc>
        <w:tc>
          <w:tcPr>
            <w:tcW w:w="159"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and comprehensive loss attributable to common stockholders</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b/>
              </w:rPr>
            </w:pPr>
            <w:r>
              <w:rPr>
                <w:b/>
              </w:rPr>
              <w:t>$</w:t>
            </w:r>
          </w:p>
        </w:tc>
        <w:tc>
          <w:tcPr>
            <w:tcW w:w="1042" w:type="dxa"/>
            <w:tcBorders/>
            <w:vAlign w:val="bottom"/>
          </w:tcPr>
          <w:p>
            <w:pPr>
              <w:pStyle w:val="TableContents"/>
              <w:bidi w:val="0"/>
              <w:spacing w:before="0" w:after="283"/>
              <w:jc w:val="right"/>
              <w:rPr>
                <w:b/>
              </w:rPr>
            </w:pPr>
            <w:r>
              <w:rPr>
                <w:b/>
              </w:rPr>
              <w:t>(9,142</w:t>
            </w:r>
          </w:p>
        </w:tc>
        <w:tc>
          <w:tcPr>
            <w:tcW w:w="212"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b/>
              </w:rPr>
            </w:pPr>
            <w:r>
              <w:rPr>
                <w:b/>
              </w:rPr>
              <w:t>$</w:t>
            </w:r>
          </w:p>
        </w:tc>
        <w:tc>
          <w:tcPr>
            <w:tcW w:w="1044" w:type="dxa"/>
            <w:tcBorders/>
            <w:vAlign w:val="bottom"/>
          </w:tcPr>
          <w:p>
            <w:pPr>
              <w:pStyle w:val="TableContents"/>
              <w:bidi w:val="0"/>
              <w:spacing w:before="0" w:after="283"/>
              <w:jc w:val="right"/>
              <w:rPr>
                <w:b/>
              </w:rPr>
            </w:pPr>
            <w:r>
              <w:rPr>
                <w:b/>
              </w:rPr>
              <w:t>(23,501</w:t>
            </w:r>
          </w:p>
        </w:tc>
        <w:tc>
          <w:tcPr>
            <w:tcW w:w="159" w:type="dxa"/>
            <w:tcBorders/>
            <w:vAlign w:val="bottom"/>
          </w:tcPr>
          <w:p>
            <w:pPr>
              <w:pStyle w:val="TableContents"/>
              <w:bidi w:val="0"/>
              <w:spacing w:before="0" w:after="283"/>
              <w:jc w:val="left"/>
              <w:rPr>
                <w:b/>
              </w:rPr>
            </w:pPr>
            <w:r>
              <w:rPr>
                <w:b/>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042"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per share attributable to common stockholders, basic and diluted</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b/>
              </w:rPr>
            </w:pPr>
            <w:r>
              <w:rPr>
                <w:b/>
              </w:rPr>
              <w:t>$</w:t>
            </w:r>
          </w:p>
        </w:tc>
        <w:tc>
          <w:tcPr>
            <w:tcW w:w="1042" w:type="dxa"/>
            <w:tcBorders/>
            <w:shd w:fill="CCEEFF" w:val="clear"/>
            <w:vAlign w:val="bottom"/>
          </w:tcPr>
          <w:p>
            <w:pPr>
              <w:pStyle w:val="TableContents"/>
              <w:bidi w:val="0"/>
              <w:spacing w:before="0" w:after="283"/>
              <w:jc w:val="right"/>
              <w:rPr>
                <w:b/>
              </w:rPr>
            </w:pPr>
            <w:r>
              <w:rPr>
                <w:b/>
              </w:rPr>
              <w:t>(111.16</w:t>
            </w:r>
          </w:p>
        </w:tc>
        <w:tc>
          <w:tcPr>
            <w:tcW w:w="212" w:type="dxa"/>
            <w:tcBorders/>
            <w:shd w:fill="CCEEFF" w:val="clear"/>
            <w:vAlign w:val="bottom"/>
          </w:tcPr>
          <w:p>
            <w:pPr>
              <w:pStyle w:val="TableContents"/>
              <w:bidi w:val="0"/>
              <w:spacing w:before="0" w:after="283"/>
              <w:jc w:val="left"/>
              <w:rPr>
                <w:b/>
              </w:rPr>
            </w:pPr>
            <w:r>
              <w:rPr>
                <w:b/>
              </w:rPr>
              <w:t>) </w:t>
            </w:r>
          </w:p>
        </w:tc>
        <w:tc>
          <w:tcPr>
            <w:tcW w:w="12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b/>
              </w:rPr>
            </w:pPr>
            <w:r>
              <w:rPr>
                <w:b/>
              </w:rPr>
              <w:t>$</w:t>
            </w:r>
          </w:p>
        </w:tc>
        <w:tc>
          <w:tcPr>
            <w:tcW w:w="1044" w:type="dxa"/>
            <w:tcBorders/>
            <w:shd w:fill="CCEEFF" w:val="clear"/>
            <w:vAlign w:val="bottom"/>
          </w:tcPr>
          <w:p>
            <w:pPr>
              <w:pStyle w:val="TableContents"/>
              <w:bidi w:val="0"/>
              <w:spacing w:before="0" w:after="283"/>
              <w:jc w:val="right"/>
              <w:rPr>
                <w:b/>
              </w:rPr>
            </w:pPr>
            <w:r>
              <w:rPr>
                <w:b/>
              </w:rPr>
              <w:t>(300.44</w:t>
            </w:r>
          </w:p>
        </w:tc>
        <w:tc>
          <w:tcPr>
            <w:tcW w:w="159" w:type="dxa"/>
            <w:tcBorders/>
            <w:shd w:fill="CCEEFF" w:val="clear"/>
            <w:vAlign w:val="bottom"/>
          </w:tcPr>
          <w:p>
            <w:pPr>
              <w:pStyle w:val="TableContents"/>
              <w:bidi w:val="0"/>
              <w:spacing w:before="0" w:after="283"/>
              <w:jc w:val="left"/>
              <w:rPr>
                <w:b/>
              </w:rPr>
            </w:pPr>
            <w:r>
              <w:rPr>
                <w:b/>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042"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basic and diluted</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82,245</w:t>
            </w:r>
          </w:p>
        </w:tc>
        <w:tc>
          <w:tcPr>
            <w:tcW w:w="21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78,222</w:t>
            </w:r>
          </w:p>
        </w:tc>
        <w:tc>
          <w:tcPr>
            <w:tcW w:w="159"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042"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financial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CalciMedica, Inc.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3"/>
        <w:gridCol w:w="122"/>
        <w:gridCol w:w="60"/>
        <w:gridCol w:w="1103"/>
        <w:gridCol w:w="60"/>
        <w:gridCol w:w="122"/>
        <w:gridCol w:w="147"/>
        <w:gridCol w:w="714"/>
        <w:gridCol w:w="60"/>
        <w:gridCol w:w="122"/>
        <w:gridCol w:w="60"/>
        <w:gridCol w:w="683"/>
        <w:gridCol w:w="60"/>
        <w:gridCol w:w="122"/>
        <w:gridCol w:w="430"/>
        <w:gridCol w:w="430"/>
        <w:gridCol w:w="60"/>
        <w:gridCol w:w="122"/>
        <w:gridCol w:w="186"/>
        <w:gridCol w:w="915"/>
        <w:gridCol w:w="155"/>
        <w:gridCol w:w="62"/>
        <w:gridCol w:w="188"/>
        <w:gridCol w:w="1185"/>
        <w:gridCol w:w="155"/>
        <w:gridCol w:w="62"/>
        <w:gridCol w:w="209"/>
        <w:gridCol w:w="1134"/>
        <w:gridCol w:w="164"/>
      </w:tblGrid>
      <w:tr>
        <w:trPr/>
        <w:tc>
          <w:tcPr>
            <w:tcW w:w="131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1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206" w:type="dxa"/>
            <w:gridSpan w:val="6"/>
            <w:tcBorders/>
            <w:vAlign w:val="bottom"/>
          </w:tcPr>
          <w:p>
            <w:pPr>
              <w:pStyle w:val="TableContents"/>
              <w:bidi w:val="0"/>
              <w:spacing w:before="0" w:after="283"/>
              <w:jc w:val="center"/>
              <w:rPr>
                <w:b/>
              </w:rPr>
            </w:pPr>
            <w:r>
              <w:rPr>
                <w:b/>
              </w:rPr>
              <w:t>Convertible Preferred</w:t>
            </w:r>
          </w:p>
        </w:tc>
        <w:tc>
          <w:tcPr>
            <w:tcW w:w="60" w:type="dxa"/>
            <w:tcBorders/>
            <w:vAlign w:val="bottom"/>
          </w:tcPr>
          <w:p>
            <w:pPr>
              <w:pStyle w:val="TableContents"/>
              <w:bidi w:val="0"/>
              <w:spacing w:before="0" w:after="283"/>
              <w:jc w:val="left"/>
              <w:rPr/>
            </w:pPr>
            <w:r>
              <w:rPr/>
              <w:t> </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74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Additional</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7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43" w:type="dxa"/>
            <w:gridSpan w:val="2"/>
            <w:tcBorders/>
            <w:vAlign w:val="bottom"/>
          </w:tcPr>
          <w:p>
            <w:pPr>
              <w:pStyle w:val="TableContents"/>
              <w:bidi w:val="0"/>
              <w:spacing w:before="0" w:after="283"/>
              <w:jc w:val="center"/>
              <w:rPr>
                <w:b/>
              </w:rPr>
            </w:pPr>
            <w:r>
              <w:rPr>
                <w:b/>
              </w:rPr>
              <w:t>Total</w:t>
            </w:r>
          </w:p>
        </w:tc>
        <w:tc>
          <w:tcPr>
            <w:tcW w:w="164" w:type="dxa"/>
            <w:tcBorders/>
            <w:vAlign w:val="bottom"/>
          </w:tcPr>
          <w:p>
            <w:pPr>
              <w:pStyle w:val="TableContents"/>
              <w:bidi w:val="0"/>
              <w:spacing w:before="0" w:after="283"/>
              <w:jc w:val="left"/>
              <w:rPr/>
            </w:pPr>
            <w:r>
              <w:rPr/>
              <w:t> </w:t>
            </w:r>
          </w:p>
        </w:tc>
      </w:tr>
      <w:tr>
        <w:trPr/>
        <w:tc>
          <w:tcPr>
            <w:tcW w:w="131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w:t>
            </w:r>
          </w:p>
        </w:tc>
        <w:tc>
          <w:tcPr>
            <w:tcW w:w="60" w:type="dxa"/>
            <w:tcBorders/>
            <w:vAlign w:val="bottom"/>
          </w:tcPr>
          <w:p>
            <w:pPr>
              <w:pStyle w:val="TableContents"/>
              <w:bidi w:val="0"/>
              <w:spacing w:before="0" w:after="283"/>
              <w:jc w:val="left"/>
              <w:rPr/>
            </w:pPr>
            <w:r>
              <w:rPr/>
              <w:t> </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17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Paid-in</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73" w:type="dxa"/>
            <w:gridSpan w:val="2"/>
            <w:tcBorders/>
            <w:vAlign w:val="bottom"/>
          </w:tcPr>
          <w:p>
            <w:pPr>
              <w:pStyle w:val="TableContents"/>
              <w:bidi w:val="0"/>
              <w:spacing w:before="0" w:after="283"/>
              <w:jc w:val="center"/>
              <w:rPr>
                <w:b/>
              </w:rPr>
            </w:pPr>
            <w:r>
              <w:rPr>
                <w:b/>
              </w:rPr>
              <w:t>Accumulated</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43" w:type="dxa"/>
            <w:gridSpan w:val="2"/>
            <w:tcBorders/>
            <w:vAlign w:val="bottom"/>
          </w:tcPr>
          <w:p>
            <w:pPr>
              <w:pStyle w:val="TableContents"/>
              <w:bidi w:val="0"/>
              <w:spacing w:before="0" w:after="283"/>
              <w:jc w:val="center"/>
              <w:rPr>
                <w:b/>
              </w:rPr>
            </w:pPr>
            <w:r>
              <w:rPr>
                <w:b/>
              </w:rPr>
              <w:t>Stockholders</w:t>
            </w:r>
          </w:p>
        </w:tc>
        <w:tc>
          <w:tcPr>
            <w:tcW w:w="164" w:type="dxa"/>
            <w:tcBorders/>
            <w:vAlign w:val="bottom"/>
          </w:tcPr>
          <w:p>
            <w:pPr>
              <w:pStyle w:val="TableContents"/>
              <w:bidi w:val="0"/>
              <w:spacing w:before="0" w:after="283"/>
              <w:jc w:val="left"/>
              <w:rPr/>
            </w:pPr>
            <w:r>
              <w:rPr/>
              <w:t> </w:t>
            </w:r>
          </w:p>
        </w:tc>
      </w:tr>
      <w:tr>
        <w:trPr/>
        <w:tc>
          <w:tcPr>
            <w:tcW w:w="131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7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Capital</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64" w:type="dxa"/>
            <w:tcBorders/>
            <w:vAlign w:val="bottom"/>
          </w:tcPr>
          <w:p>
            <w:pPr>
              <w:pStyle w:val="TableContents"/>
              <w:bidi w:val="0"/>
              <w:spacing w:before="0" w:after="283"/>
              <w:jc w:val="left"/>
              <w:rPr/>
            </w:pPr>
            <w:r>
              <w:rPr/>
              <w:t> </w:t>
            </w:r>
          </w:p>
        </w:tc>
      </w:tr>
      <w:tr>
        <w:trPr/>
        <w:tc>
          <w:tcPr>
            <w:tcW w:w="131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2020</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57,940,840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714" w:type="dxa"/>
            <w:tcBorders/>
            <w:shd w:fill="CCEEFF" w:val="clear"/>
            <w:vAlign w:val="bottom"/>
          </w:tcPr>
          <w:p>
            <w:pPr>
              <w:pStyle w:val="TableContents"/>
              <w:bidi w:val="0"/>
              <w:spacing w:before="0" w:after="283"/>
              <w:jc w:val="right"/>
              <w:rPr>
                <w:b/>
              </w:rPr>
            </w:pPr>
            <w:r>
              <w:rPr>
                <w:b/>
              </w:rPr>
              <w:t>42,577</w:t>
            </w:r>
          </w:p>
        </w:tc>
        <w:tc>
          <w:tcPr>
            <w:tcW w:w="60" w:type="dxa"/>
            <w:tcBorders/>
            <w:shd w:fill="CCEEFF" w:val="clear"/>
            <w:vAlign w:val="bottom"/>
          </w:tcPr>
          <w:p>
            <w:pPr>
              <w:pStyle w:val="TableContents"/>
              <w:bidi w:val="0"/>
              <w:spacing w:before="0" w:after="283"/>
              <w:jc w:val="left"/>
              <w:rPr/>
            </w:pPr>
            <w:r>
              <w:rPr/>
              <w:t> </w:t>
            </w:r>
          </w:p>
        </w:tc>
        <w:tc>
          <w:tcPr>
            <w:tcW w:w="12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b/>
              </w:rPr>
            </w:pPr>
            <w:r>
              <w:rPr>
                <w:b/>
              </w:rPr>
              <w:t>77,267</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b/>
              </w:rPr>
            </w:pPr>
            <w:r>
              <w:rPr>
                <w:b/>
              </w:rPr>
              <w:t>$</w:t>
            </w:r>
          </w:p>
        </w:tc>
        <w:tc>
          <w:tcPr>
            <w:tcW w:w="430"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b/>
              </w:rPr>
            </w:pPr>
            <w:r>
              <w:rPr>
                <w:b/>
              </w:rPr>
              <w:t>$</w:t>
            </w:r>
          </w:p>
        </w:tc>
        <w:tc>
          <w:tcPr>
            <w:tcW w:w="915" w:type="dxa"/>
            <w:tcBorders/>
            <w:shd w:fill="CCEEFF" w:val="clear"/>
            <w:vAlign w:val="bottom"/>
          </w:tcPr>
          <w:p>
            <w:pPr>
              <w:pStyle w:val="TableContents"/>
              <w:bidi w:val="0"/>
              <w:spacing w:before="0" w:after="283"/>
              <w:jc w:val="right"/>
              <w:rPr>
                <w:b/>
              </w:rPr>
            </w:pPr>
            <w:r>
              <w:rPr>
                <w:b/>
              </w:rPr>
              <w:t>37,775</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185" w:type="dxa"/>
            <w:tcBorders/>
            <w:shd w:fill="CCEEFF" w:val="clear"/>
            <w:vAlign w:val="bottom"/>
          </w:tcPr>
          <w:p>
            <w:pPr>
              <w:pStyle w:val="TableContents"/>
              <w:bidi w:val="0"/>
              <w:spacing w:before="0" w:after="283"/>
              <w:jc w:val="right"/>
              <w:rPr>
                <w:b/>
              </w:rPr>
            </w:pPr>
            <w:r>
              <w:rPr>
                <w:b/>
              </w:rPr>
              <w:t>(80,382</w:t>
            </w:r>
          </w:p>
        </w:tc>
        <w:tc>
          <w:tcPr>
            <w:tcW w:w="155" w:type="dxa"/>
            <w:tcBorders/>
            <w:shd w:fill="CCEEFF" w:val="clear"/>
            <w:vAlign w:val="bottom"/>
          </w:tcPr>
          <w:p>
            <w:pPr>
              <w:pStyle w:val="TableContents"/>
              <w:bidi w:val="0"/>
              <w:spacing w:before="0" w:after="283"/>
              <w:jc w:val="left"/>
              <w:rPr>
                <w:b/>
              </w:rPr>
            </w:pPr>
            <w:r>
              <w:rPr>
                <w:b/>
              </w:rPr>
              <w:t>) </w:t>
            </w:r>
          </w:p>
        </w:tc>
        <w:tc>
          <w:tcPr>
            <w:tcW w:w="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b/>
              </w:rPr>
            </w:pPr>
            <w:r>
              <w:rPr>
                <w:b/>
              </w:rPr>
              <w:t>$</w:t>
            </w:r>
          </w:p>
        </w:tc>
        <w:tc>
          <w:tcPr>
            <w:tcW w:w="1134" w:type="dxa"/>
            <w:tcBorders/>
            <w:shd w:fill="CCEEFF" w:val="clear"/>
            <w:vAlign w:val="bottom"/>
          </w:tcPr>
          <w:p>
            <w:pPr>
              <w:pStyle w:val="TableContents"/>
              <w:bidi w:val="0"/>
              <w:spacing w:before="0" w:after="283"/>
              <w:jc w:val="right"/>
              <w:rPr>
                <w:b/>
              </w:rPr>
            </w:pPr>
            <w:r>
              <w:rPr>
                <w:b/>
              </w:rPr>
              <w:t>(42,606</w:t>
            </w:r>
          </w:p>
        </w:tc>
        <w:tc>
          <w:tcPr>
            <w:tcW w:w="164" w:type="dxa"/>
            <w:tcBorders/>
            <w:shd w:fill="CCEEFF" w:val="clear"/>
            <w:vAlign w:val="bottom"/>
          </w:tcPr>
          <w:p>
            <w:pPr>
              <w:pStyle w:val="TableContents"/>
              <w:bidi w:val="0"/>
              <w:spacing w:before="0" w:after="283"/>
              <w:jc w:val="left"/>
              <w:rPr>
                <w:b/>
              </w:rPr>
            </w:pPr>
            <w:r>
              <w:rPr>
                <w:b/>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Series D convertible preferred stock, net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26,880,040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19,494</w:t>
            </w:r>
          </w:p>
        </w:tc>
        <w:tc>
          <w:tcPr>
            <w:tcW w:w="60" w:type="dxa"/>
            <w:tcBorders/>
            <w:vAlign w:val="bottom"/>
          </w:tcPr>
          <w:p>
            <w:pPr>
              <w:pStyle w:val="TableContents"/>
              <w:bidi w:val="0"/>
              <w:spacing w:before="0" w:after="283"/>
              <w:jc w:val="left"/>
              <w:rPr/>
            </w:pPr>
            <w:r>
              <w:rPr/>
              <w:t> </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of common stock options</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1,260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8</w:t>
            </w:r>
          </w:p>
        </w:tc>
        <w:tc>
          <w:tcPr>
            <w:tcW w:w="164" w:type="dxa"/>
            <w:tcBorders/>
            <w:shd w:fill="CCEEFF" w:val="clear"/>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2,112</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2,112</w:t>
            </w:r>
          </w:p>
        </w:tc>
        <w:tc>
          <w:tcPr>
            <w:tcW w:w="164" w:type="dxa"/>
            <w:tcBorders/>
            <w:vAlign w:val="bottom"/>
          </w:tcPr>
          <w:p>
            <w:pPr>
              <w:pStyle w:val="TableContents"/>
              <w:bidi w:val="0"/>
              <w:spacing w:before="0" w:after="283"/>
              <w:jc w:val="left"/>
              <w:rPr/>
            </w:pPr>
            <w:r>
              <w:rPr/>
              <w:t> </w:t>
            </w:r>
          </w:p>
        </w:tc>
      </w:tr>
      <w:tr>
        <w:trPr/>
        <w:tc>
          <w:tcPr>
            <w:tcW w:w="1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(23,501</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(23,501</w:t>
            </w:r>
          </w:p>
        </w:tc>
        <w:tc>
          <w:tcPr>
            <w:tcW w:w="164" w:type="dxa"/>
            <w:tcBorders/>
            <w:shd w:fill="CCEEFF" w:val="clear"/>
            <w:vAlign w:val="bottom"/>
          </w:tcPr>
          <w:p>
            <w:pPr>
              <w:pStyle w:val="TableContents"/>
              <w:bidi w:val="0"/>
              <w:spacing w:before="0" w:after="283"/>
              <w:jc w:val="left"/>
              <w:rPr/>
            </w:pPr>
            <w:r>
              <w:rPr/>
              <w:t>) </w:t>
            </w:r>
          </w:p>
        </w:tc>
      </w:tr>
      <w:tr>
        <w:trPr/>
        <w:tc>
          <w:tcPr>
            <w:tcW w:w="1313"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3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2021</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84,820,880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62,071</w:t>
            </w:r>
          </w:p>
        </w:tc>
        <w:tc>
          <w:tcPr>
            <w:tcW w:w="60" w:type="dxa"/>
            <w:tcBorders/>
            <w:vAlign w:val="bottom"/>
          </w:tcPr>
          <w:p>
            <w:pPr>
              <w:pStyle w:val="TableContents"/>
              <w:bidi w:val="0"/>
              <w:spacing w:before="0" w:after="283"/>
              <w:jc w:val="left"/>
              <w:rPr/>
            </w:pPr>
            <w:r>
              <w:rPr/>
              <w:t> </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b/>
              </w:rPr>
            </w:pPr>
            <w:r>
              <w:rPr>
                <w:b/>
              </w:rPr>
              <w:t>78,527</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b/>
              </w:rPr>
            </w:pPr>
            <w:r>
              <w:rPr>
                <w:b/>
              </w:rPr>
              <w:t>$</w:t>
            </w:r>
          </w:p>
        </w:tc>
        <w:tc>
          <w:tcPr>
            <w:tcW w:w="430" w:type="dxa"/>
            <w:tcBorders/>
            <w:vAlign w:val="bottom"/>
          </w:tcPr>
          <w:p>
            <w:pPr>
              <w:pStyle w:val="TableContents"/>
              <w:bidi w:val="0"/>
              <w:spacing w:before="0" w:after="283"/>
              <w:jc w:val="right"/>
              <w:rPr>
                <w:b/>
              </w:rPr>
            </w:pPr>
            <w:r>
              <w:rPr>
                <w:b/>
              </w:rPr>
              <w:t>1</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b/>
              </w:rPr>
            </w:pPr>
            <w:r>
              <w:rPr>
                <w:b/>
              </w:rPr>
              <w:t>$</w:t>
            </w:r>
          </w:p>
        </w:tc>
        <w:tc>
          <w:tcPr>
            <w:tcW w:w="915" w:type="dxa"/>
            <w:tcBorders/>
            <w:vAlign w:val="bottom"/>
          </w:tcPr>
          <w:p>
            <w:pPr>
              <w:pStyle w:val="TableContents"/>
              <w:bidi w:val="0"/>
              <w:spacing w:before="0" w:after="283"/>
              <w:jc w:val="right"/>
              <w:rPr>
                <w:b/>
              </w:rPr>
            </w:pPr>
            <w:r>
              <w:rPr>
                <w:b/>
              </w:rPr>
              <w:t>39,895</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5" w:type="dxa"/>
            <w:tcBorders/>
            <w:vAlign w:val="bottom"/>
          </w:tcPr>
          <w:p>
            <w:pPr>
              <w:pStyle w:val="TableContents"/>
              <w:bidi w:val="0"/>
              <w:spacing w:before="0" w:after="283"/>
              <w:jc w:val="right"/>
              <w:rPr>
                <w:b/>
              </w:rPr>
            </w:pPr>
            <w:r>
              <w:rPr>
                <w:b/>
              </w:rPr>
              <w:t>(103,883</w:t>
            </w:r>
          </w:p>
        </w:tc>
        <w:tc>
          <w:tcPr>
            <w:tcW w:w="155" w:type="dxa"/>
            <w:tcBorders/>
            <w:vAlign w:val="bottom"/>
          </w:tcPr>
          <w:p>
            <w:pPr>
              <w:pStyle w:val="TableContents"/>
              <w:bidi w:val="0"/>
              <w:spacing w:before="0" w:after="283"/>
              <w:jc w:val="left"/>
              <w:rPr>
                <w:b/>
              </w:rPr>
            </w:pPr>
            <w:r>
              <w:rPr>
                <w:b/>
              </w:rPr>
              <w:t>) </w:t>
            </w:r>
          </w:p>
        </w:tc>
        <w:tc>
          <w:tcPr>
            <w:tcW w:w="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b/>
              </w:rPr>
            </w:pPr>
            <w:r>
              <w:rPr>
                <w:b/>
              </w:rPr>
              <w:t>$</w:t>
            </w:r>
          </w:p>
        </w:tc>
        <w:tc>
          <w:tcPr>
            <w:tcW w:w="1134" w:type="dxa"/>
            <w:tcBorders/>
            <w:vAlign w:val="bottom"/>
          </w:tcPr>
          <w:p>
            <w:pPr>
              <w:pStyle w:val="TableContents"/>
              <w:bidi w:val="0"/>
              <w:spacing w:before="0" w:after="283"/>
              <w:jc w:val="right"/>
              <w:rPr>
                <w:b/>
              </w:rPr>
            </w:pPr>
            <w:r>
              <w:rPr>
                <w:b/>
              </w:rPr>
              <w:t>(63,987</w:t>
            </w:r>
          </w:p>
        </w:tc>
        <w:tc>
          <w:tcPr>
            <w:tcW w:w="164" w:type="dxa"/>
            <w:tcBorders/>
            <w:vAlign w:val="bottom"/>
          </w:tcPr>
          <w:p>
            <w:pPr>
              <w:pStyle w:val="TableContents"/>
              <w:bidi w:val="0"/>
              <w:spacing w:before="0" w:after="283"/>
              <w:jc w:val="left"/>
              <w:rPr>
                <w:b/>
              </w:rPr>
            </w:pPr>
            <w:r>
              <w:rPr>
                <w:b/>
              </w:rPr>
              <w:t>) </w:t>
            </w:r>
          </w:p>
        </w:tc>
      </w:tr>
      <w:tr>
        <w:trPr/>
        <w:tc>
          <w:tcPr>
            <w:tcW w:w="1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for services</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1,138</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8</w:t>
            </w:r>
          </w:p>
        </w:tc>
        <w:tc>
          <w:tcPr>
            <w:tcW w:w="164" w:type="dxa"/>
            <w:tcBorders/>
            <w:shd w:fill="CCEEFF" w:val="clear"/>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Exercise of common stock options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4,500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18</w:t>
            </w:r>
          </w:p>
        </w:tc>
        <w:tc>
          <w:tcPr>
            <w:tcW w:w="164" w:type="dxa"/>
            <w:tcBorders/>
            <w:vAlign w:val="bottom"/>
          </w:tcPr>
          <w:p>
            <w:pPr>
              <w:pStyle w:val="TableContents"/>
              <w:bidi w:val="0"/>
              <w:spacing w:before="0" w:after="283"/>
              <w:jc w:val="left"/>
              <w:rPr/>
            </w:pPr>
            <w:r>
              <w:rPr/>
              <w:t> </w:t>
            </w:r>
          </w:p>
        </w:tc>
      </w:tr>
      <w:tr>
        <w:trPr/>
        <w:tc>
          <w:tcPr>
            <w:tcW w:w="1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1,799</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1,799</w:t>
            </w:r>
          </w:p>
        </w:tc>
        <w:tc>
          <w:tcPr>
            <w:tcW w:w="164" w:type="dxa"/>
            <w:tcBorders/>
            <w:shd w:fill="CCEEFF" w:val="clear"/>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Deemed distribution (As Restated)</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(1,318</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(1,318</w:t>
            </w:r>
          </w:p>
        </w:tc>
        <w:tc>
          <w:tcPr>
            <w:tcW w:w="164" w:type="dxa"/>
            <w:tcBorders/>
            <w:vAlign w:val="bottom"/>
          </w:tcPr>
          <w:p>
            <w:pPr>
              <w:pStyle w:val="TableContents"/>
              <w:bidi w:val="0"/>
              <w:spacing w:before="0" w:after="283"/>
              <w:jc w:val="left"/>
              <w:rPr/>
            </w:pPr>
            <w:r>
              <w:rPr/>
              <w:t>) </w:t>
            </w:r>
          </w:p>
        </w:tc>
      </w:tr>
      <w:tr>
        <w:trPr/>
        <w:tc>
          <w:tcPr>
            <w:tcW w:w="1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 (As Restated)</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(7,824</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(7,824</w:t>
            </w:r>
          </w:p>
        </w:tc>
        <w:tc>
          <w:tcPr>
            <w:tcW w:w="164" w:type="dxa"/>
            <w:tcBorders/>
            <w:shd w:fill="CCEEFF" w:val="clear"/>
            <w:vAlign w:val="bottom"/>
          </w:tcPr>
          <w:p>
            <w:pPr>
              <w:pStyle w:val="TableContents"/>
              <w:bidi w:val="0"/>
              <w:spacing w:before="0" w:after="283"/>
              <w:jc w:val="left"/>
              <w:rPr/>
            </w:pPr>
            <w:r>
              <w:rPr/>
              <w:t>) </w:t>
            </w:r>
          </w:p>
        </w:tc>
      </w:tr>
      <w:tr>
        <w:trPr/>
        <w:tc>
          <w:tcPr>
            <w:tcW w:w="1313"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3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2022 (As Restated)</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84,820,880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62,071</w:t>
            </w:r>
          </w:p>
        </w:tc>
        <w:tc>
          <w:tcPr>
            <w:tcW w:w="60" w:type="dxa"/>
            <w:tcBorders/>
            <w:vAlign w:val="bottom"/>
          </w:tcPr>
          <w:p>
            <w:pPr>
              <w:pStyle w:val="TableContents"/>
              <w:bidi w:val="0"/>
              <w:spacing w:before="0" w:after="283"/>
              <w:jc w:val="left"/>
              <w:rPr/>
            </w:pPr>
            <w:r>
              <w:rPr/>
              <w:t> </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b/>
              </w:rPr>
            </w:pPr>
            <w:r>
              <w:rPr>
                <w:b/>
              </w:rPr>
              <w:t>84,165</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b/>
              </w:rPr>
            </w:pPr>
            <w:r>
              <w:rPr>
                <w:b/>
              </w:rPr>
              <w:t>$</w:t>
            </w:r>
          </w:p>
        </w:tc>
        <w:tc>
          <w:tcPr>
            <w:tcW w:w="430" w:type="dxa"/>
            <w:tcBorders/>
            <w:vAlign w:val="bottom"/>
          </w:tcPr>
          <w:p>
            <w:pPr>
              <w:pStyle w:val="TableContents"/>
              <w:bidi w:val="0"/>
              <w:spacing w:before="0" w:after="283"/>
              <w:jc w:val="right"/>
              <w:rPr>
                <w:b/>
              </w:rPr>
            </w:pPr>
            <w:r>
              <w:rPr>
                <w:b/>
              </w:rPr>
              <w:t>1</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b/>
              </w:rPr>
            </w:pPr>
            <w:r>
              <w:rPr>
                <w:b/>
              </w:rPr>
              <w:t>$</w:t>
            </w:r>
          </w:p>
        </w:tc>
        <w:tc>
          <w:tcPr>
            <w:tcW w:w="915" w:type="dxa"/>
            <w:tcBorders/>
            <w:vAlign w:val="bottom"/>
          </w:tcPr>
          <w:p>
            <w:pPr>
              <w:pStyle w:val="TableContents"/>
              <w:bidi w:val="0"/>
              <w:spacing w:before="0" w:after="283"/>
              <w:jc w:val="right"/>
              <w:rPr>
                <w:b/>
              </w:rPr>
            </w:pPr>
            <w:r>
              <w:rPr>
                <w:b/>
              </w:rPr>
              <w:t>40,402</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5" w:type="dxa"/>
            <w:tcBorders/>
            <w:vAlign w:val="bottom"/>
          </w:tcPr>
          <w:p>
            <w:pPr>
              <w:pStyle w:val="TableContents"/>
              <w:bidi w:val="0"/>
              <w:spacing w:before="0" w:after="283"/>
              <w:jc w:val="right"/>
              <w:rPr>
                <w:b/>
              </w:rPr>
            </w:pPr>
            <w:r>
              <w:rPr>
                <w:b/>
              </w:rPr>
              <w:t>(111,707</w:t>
            </w:r>
          </w:p>
        </w:tc>
        <w:tc>
          <w:tcPr>
            <w:tcW w:w="155" w:type="dxa"/>
            <w:tcBorders/>
            <w:vAlign w:val="bottom"/>
          </w:tcPr>
          <w:p>
            <w:pPr>
              <w:pStyle w:val="TableContents"/>
              <w:bidi w:val="0"/>
              <w:spacing w:before="0" w:after="283"/>
              <w:jc w:val="left"/>
              <w:rPr>
                <w:b/>
              </w:rPr>
            </w:pPr>
            <w:r>
              <w:rPr>
                <w:b/>
              </w:rPr>
              <w:t>) </w:t>
            </w:r>
          </w:p>
        </w:tc>
        <w:tc>
          <w:tcPr>
            <w:tcW w:w="6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b/>
              </w:rPr>
            </w:pPr>
            <w:r>
              <w:rPr>
                <w:b/>
              </w:rPr>
              <w:t>$</w:t>
            </w:r>
          </w:p>
        </w:tc>
        <w:tc>
          <w:tcPr>
            <w:tcW w:w="1134" w:type="dxa"/>
            <w:tcBorders/>
            <w:vAlign w:val="bottom"/>
          </w:tcPr>
          <w:p>
            <w:pPr>
              <w:pStyle w:val="TableContents"/>
              <w:bidi w:val="0"/>
              <w:spacing w:before="0" w:after="283"/>
              <w:jc w:val="right"/>
              <w:rPr>
                <w:b/>
              </w:rPr>
            </w:pPr>
            <w:r>
              <w:rPr>
                <w:b/>
              </w:rPr>
              <w:t>(71,304</w:t>
            </w:r>
          </w:p>
        </w:tc>
        <w:tc>
          <w:tcPr>
            <w:tcW w:w="164" w:type="dxa"/>
            <w:tcBorders/>
            <w:vAlign w:val="bottom"/>
          </w:tcPr>
          <w:p>
            <w:pPr>
              <w:pStyle w:val="TableContents"/>
              <w:bidi w:val="0"/>
              <w:spacing w:before="0" w:after="283"/>
              <w:jc w:val="left"/>
              <w:rPr>
                <w:b/>
              </w:rPr>
            </w:pPr>
            <w:r>
              <w:rPr>
                <w:b/>
              </w:rPr>
              <w:t>) </w:t>
            </w:r>
          </w:p>
        </w:tc>
      </w:tr>
      <w:tr>
        <w:trPr/>
        <w:tc>
          <w:tcPr>
            <w:tcW w:w="1313"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financial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CalciMedica, Inc.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32"/>
        <w:gridCol w:w="243"/>
        <w:gridCol w:w="140"/>
        <w:gridCol w:w="767"/>
        <w:gridCol w:w="155"/>
        <w:gridCol w:w="202"/>
        <w:gridCol w:w="140"/>
        <w:gridCol w:w="767"/>
        <w:gridCol w:w="159"/>
      </w:tblGrid>
      <w:tr>
        <w:trPr/>
        <w:tc>
          <w:tcPr>
            <w:tcW w:w="7632"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63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171" w:type="dxa"/>
            <w:gridSpan w:val="6"/>
            <w:tcBorders/>
            <w:vAlign w:val="bottom"/>
          </w:tcPr>
          <w:p>
            <w:pPr>
              <w:pStyle w:val="TableContents"/>
              <w:bidi w:val="0"/>
              <w:spacing w:before="0" w:after="283"/>
              <w:jc w:val="center"/>
              <w:rPr>
                <w:b/>
              </w:rPr>
            </w:pPr>
            <w:r>
              <w:rPr>
                <w:b/>
              </w:rPr>
              <w:t>Years ended</w:t>
              <w:br/>
              <w:t>December 30,</w:t>
            </w:r>
          </w:p>
        </w:tc>
        <w:tc>
          <w:tcPr>
            <w:tcW w:w="159" w:type="dxa"/>
            <w:tcBorders/>
            <w:vAlign w:val="bottom"/>
          </w:tcPr>
          <w:p>
            <w:pPr>
              <w:pStyle w:val="TableContents"/>
              <w:bidi w:val="0"/>
              <w:spacing w:before="0" w:after="283"/>
              <w:jc w:val="left"/>
              <w:rPr/>
            </w:pPr>
            <w:r>
              <w:rPr/>
              <w:t> </w:t>
            </w:r>
          </w:p>
        </w:tc>
      </w:tr>
      <w:tr>
        <w:trPr/>
        <w:tc>
          <w:tcPr>
            <w:tcW w:w="763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763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07" w:type="dxa"/>
            <w:gridSpan w:val="2"/>
            <w:tcBorders/>
            <w:vAlign w:val="bottom"/>
          </w:tcPr>
          <w:p>
            <w:pPr>
              <w:pStyle w:val="TableContents"/>
              <w:bidi w:val="0"/>
              <w:spacing w:before="0" w:after="283"/>
              <w:jc w:val="center"/>
              <w:rPr/>
            </w:pPr>
            <w:r>
              <w:rPr/>
              <w:t>(As</w:t>
              <w:br/>
              <w:t>Restated)</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07"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76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632"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(7,824</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(23,501</w:t>
            </w:r>
          </w:p>
        </w:tc>
        <w:tc>
          <w:tcPr>
            <w:tcW w:w="159" w:type="dxa"/>
            <w:tcBorders/>
            <w:vAlign w:val="bottom"/>
          </w:tcPr>
          <w:p>
            <w:pPr>
              <w:pStyle w:val="TableContents"/>
              <w:bidi w:val="0"/>
              <w:spacing w:before="0" w:after="283"/>
              <w:jc w:val="left"/>
              <w:rPr/>
            </w:pPr>
            <w:r>
              <w:rPr/>
              <w:t>) </w:t>
            </w:r>
          </w:p>
        </w:tc>
      </w:tr>
      <w:tr>
        <w:trPr/>
        <w:tc>
          <w:tcPr>
            <w:tcW w:w="76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Adjustments to reconcile net loss to cash used in operating activities: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63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42</w:t>
            </w:r>
          </w:p>
        </w:tc>
        <w:tc>
          <w:tcPr>
            <w:tcW w:w="159" w:type="dxa"/>
            <w:tcBorders/>
            <w:vAlign w:val="bottom"/>
          </w:tcPr>
          <w:p>
            <w:pPr>
              <w:pStyle w:val="TableContents"/>
              <w:bidi w:val="0"/>
              <w:spacing w:before="0" w:after="283"/>
              <w:jc w:val="left"/>
              <w:rPr/>
            </w:pPr>
            <w:r>
              <w:rPr/>
              <w:t> </w:t>
            </w:r>
          </w:p>
        </w:tc>
      </w:tr>
      <w:tr>
        <w:trPr/>
        <w:tc>
          <w:tcPr>
            <w:tcW w:w="7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1,807</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2,112</w:t>
            </w:r>
          </w:p>
        </w:tc>
        <w:tc>
          <w:tcPr>
            <w:tcW w:w="159" w:type="dxa"/>
            <w:tcBorders/>
            <w:shd w:fill="CCEEFF" w:val="clear"/>
            <w:vAlign w:val="bottom"/>
          </w:tcPr>
          <w:p>
            <w:pPr>
              <w:pStyle w:val="TableContents"/>
              <w:bidi w:val="0"/>
              <w:spacing w:before="0" w:after="283"/>
              <w:jc w:val="left"/>
              <w:rPr/>
            </w:pPr>
            <w:r>
              <w:rPr/>
              <w:t> </w:t>
            </w:r>
          </w:p>
        </w:tc>
      </w:tr>
      <w:tr>
        <w:trPr/>
        <w:tc>
          <w:tcPr>
            <w:tcW w:w="763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(3,784</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1,964</w:t>
            </w:r>
          </w:p>
        </w:tc>
        <w:tc>
          <w:tcPr>
            <w:tcW w:w="159" w:type="dxa"/>
            <w:tcBorders/>
            <w:vAlign w:val="bottom"/>
          </w:tcPr>
          <w:p>
            <w:pPr>
              <w:pStyle w:val="TableContents"/>
              <w:bidi w:val="0"/>
              <w:spacing w:before="0" w:after="283"/>
              <w:jc w:val="left"/>
              <w:rPr/>
            </w:pPr>
            <w:r>
              <w:rPr/>
              <w:t> </w:t>
            </w:r>
          </w:p>
        </w:tc>
      </w:tr>
      <w:tr>
        <w:trPr/>
        <w:tc>
          <w:tcPr>
            <w:tcW w:w="7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promissory notes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(2,745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632"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132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6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Changes in operating assets and liabilities: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632"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(1,530</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395</w:t>
            </w:r>
          </w:p>
        </w:tc>
        <w:tc>
          <w:tcPr>
            <w:tcW w:w="159" w:type="dxa"/>
            <w:tcBorders/>
            <w:vAlign w:val="bottom"/>
          </w:tcPr>
          <w:p>
            <w:pPr>
              <w:pStyle w:val="TableContents"/>
              <w:bidi w:val="0"/>
              <w:spacing w:before="0" w:after="283"/>
              <w:jc w:val="left"/>
              <w:rPr/>
            </w:pPr>
            <w:r>
              <w:rPr/>
              <w:t> </w:t>
            </w:r>
          </w:p>
        </w:tc>
      </w:tr>
      <w:tr>
        <w:trPr/>
        <w:tc>
          <w:tcPr>
            <w:tcW w:w="7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933</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(251</w:t>
            </w:r>
          </w:p>
        </w:tc>
        <w:tc>
          <w:tcPr>
            <w:tcW w:w="159" w:type="dxa"/>
            <w:tcBorders/>
            <w:shd w:fill="CCEEFF" w:val="clear"/>
            <w:vAlign w:val="bottom"/>
          </w:tcPr>
          <w:p>
            <w:pPr>
              <w:pStyle w:val="TableContents"/>
              <w:bidi w:val="0"/>
              <w:spacing w:before="0" w:after="283"/>
              <w:jc w:val="left"/>
              <w:rPr/>
            </w:pPr>
            <w:r>
              <w:rPr/>
              <w:t>) </w:t>
            </w:r>
          </w:p>
        </w:tc>
      </w:tr>
      <w:tr>
        <w:trPr/>
        <w:tc>
          <w:tcPr>
            <w:tcW w:w="7632"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1,202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(1,268</w:t>
            </w:r>
          </w:p>
        </w:tc>
        <w:tc>
          <w:tcPr>
            <w:tcW w:w="159" w:type="dxa"/>
            <w:tcBorders/>
            <w:vAlign w:val="bottom"/>
          </w:tcPr>
          <w:p>
            <w:pPr>
              <w:pStyle w:val="TableContents"/>
              <w:bidi w:val="0"/>
              <w:spacing w:before="0" w:after="283"/>
              <w:jc w:val="left"/>
              <w:rPr/>
            </w:pPr>
            <w:r>
              <w:rPr/>
              <w:t>) </w:t>
            </w:r>
          </w:p>
        </w:tc>
      </w:tr>
      <w:tr>
        <w:trPr/>
        <w:tc>
          <w:tcPr>
            <w:tcW w:w="763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3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b/>
              </w:rPr>
            </w:pPr>
            <w:r>
              <w:rPr>
                <w:b/>
              </w:rPr>
              <w:t>(11,757</w:t>
            </w:r>
          </w:p>
        </w:tc>
        <w:tc>
          <w:tcPr>
            <w:tcW w:w="155" w:type="dxa"/>
            <w:tcBorders/>
            <w:shd w:fill="CCEEFF" w:val="clear"/>
            <w:vAlign w:val="bottom"/>
          </w:tcPr>
          <w:p>
            <w:pPr>
              <w:pStyle w:val="TableContents"/>
              <w:bidi w:val="0"/>
              <w:spacing w:before="0" w:after="283"/>
              <w:jc w:val="left"/>
              <w:rPr>
                <w:b/>
              </w:rPr>
            </w:pPr>
            <w:r>
              <w:rPr>
                <w:b/>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b/>
              </w:rPr>
            </w:pPr>
            <w:r>
              <w:rPr>
                <w:b/>
              </w:rPr>
              <w:t>(20,507</w:t>
            </w:r>
          </w:p>
        </w:tc>
        <w:tc>
          <w:tcPr>
            <w:tcW w:w="159" w:type="dxa"/>
            <w:tcBorders/>
            <w:shd w:fill="CCEEFF" w:val="clear"/>
            <w:vAlign w:val="bottom"/>
          </w:tcPr>
          <w:p>
            <w:pPr>
              <w:pStyle w:val="TableContents"/>
              <w:bidi w:val="0"/>
              <w:spacing w:before="0" w:after="283"/>
              <w:jc w:val="left"/>
              <w:rPr>
                <w:b/>
              </w:rPr>
            </w:pPr>
            <w:r>
              <w:rPr>
                <w:b/>
              </w:rPr>
              <w:t>) </w:t>
            </w:r>
          </w:p>
        </w:tc>
      </w:tr>
      <w:tr>
        <w:trPr/>
        <w:tc>
          <w:tcPr>
            <w:tcW w:w="763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3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(211</w:t>
            </w:r>
          </w:p>
        </w:tc>
        <w:tc>
          <w:tcPr>
            <w:tcW w:w="159" w:type="dxa"/>
            <w:tcBorders/>
            <w:shd w:fill="CCEEFF" w:val="clear"/>
            <w:vAlign w:val="bottom"/>
          </w:tcPr>
          <w:p>
            <w:pPr>
              <w:pStyle w:val="TableContents"/>
              <w:bidi w:val="0"/>
              <w:spacing w:before="0" w:after="283"/>
              <w:jc w:val="left"/>
              <w:rPr/>
            </w:pPr>
            <w:r>
              <w:rPr/>
              <w:t>) </w:t>
            </w:r>
          </w:p>
        </w:tc>
      </w:tr>
      <w:tr>
        <w:trPr/>
        <w:tc>
          <w:tcPr>
            <w:tcW w:w="763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3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b/>
              </w:rPr>
            </w:pPr>
            <w:r>
              <w:rPr>
                <w:b/>
              </w:rPr>
              <w:t>(4</w:t>
            </w:r>
          </w:p>
        </w:tc>
        <w:tc>
          <w:tcPr>
            <w:tcW w:w="155" w:type="dxa"/>
            <w:tcBorders/>
            <w:vAlign w:val="bottom"/>
          </w:tcPr>
          <w:p>
            <w:pPr>
              <w:pStyle w:val="TableContents"/>
              <w:bidi w:val="0"/>
              <w:spacing w:before="0" w:after="283"/>
              <w:jc w:val="left"/>
              <w:rPr>
                <w:b/>
              </w:rPr>
            </w:pPr>
            <w:r>
              <w:rPr>
                <w:b/>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b/>
              </w:rPr>
            </w:pPr>
            <w:r>
              <w:rPr>
                <w:b/>
              </w:rPr>
              <w:t>(211</w:t>
            </w:r>
          </w:p>
        </w:tc>
        <w:tc>
          <w:tcPr>
            <w:tcW w:w="159" w:type="dxa"/>
            <w:tcBorders/>
            <w:vAlign w:val="bottom"/>
          </w:tcPr>
          <w:p>
            <w:pPr>
              <w:pStyle w:val="TableContents"/>
              <w:bidi w:val="0"/>
              <w:spacing w:before="0" w:after="283"/>
              <w:jc w:val="left"/>
              <w:rPr>
                <w:b/>
              </w:rPr>
            </w:pPr>
            <w:r>
              <w:rPr>
                <w:b/>
              </w:rPr>
              <w:t>) </w:t>
            </w:r>
          </w:p>
        </w:tc>
      </w:tr>
      <w:tr>
        <w:trPr/>
        <w:tc>
          <w:tcPr>
            <w:tcW w:w="763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632"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convertible preferred stock and warrants, net of issuance costs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21,316</w:t>
            </w:r>
          </w:p>
        </w:tc>
        <w:tc>
          <w:tcPr>
            <w:tcW w:w="159" w:type="dxa"/>
            <w:tcBorders/>
            <w:vAlign w:val="bottom"/>
          </w:tcPr>
          <w:p>
            <w:pPr>
              <w:pStyle w:val="TableContents"/>
              <w:bidi w:val="0"/>
              <w:spacing w:before="0" w:after="283"/>
              <w:jc w:val="left"/>
              <w:rPr/>
            </w:pPr>
            <w:r>
              <w:rPr/>
              <w:t> </w:t>
            </w:r>
          </w:p>
        </w:tc>
      </w:tr>
      <w:tr>
        <w:trPr/>
        <w:tc>
          <w:tcPr>
            <w:tcW w:w="7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initial public offering costs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(773</w:t>
            </w:r>
          </w:p>
        </w:tc>
        <w:tc>
          <w:tcPr>
            <w:tcW w:w="159" w:type="dxa"/>
            <w:tcBorders/>
            <w:shd w:fill="CCEEFF" w:val="clear"/>
            <w:vAlign w:val="bottom"/>
          </w:tcPr>
          <w:p>
            <w:pPr>
              <w:pStyle w:val="TableContents"/>
              <w:bidi w:val="0"/>
              <w:spacing w:before="0" w:after="283"/>
              <w:jc w:val="left"/>
              <w:rPr/>
            </w:pPr>
            <w:r>
              <w:rPr/>
              <w:t>) </w:t>
            </w:r>
          </w:p>
        </w:tc>
      </w:tr>
      <w:tr>
        <w:trPr/>
        <w:tc>
          <w:tcPr>
            <w:tcW w:w="7632"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stock-exercise of options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8</w:t>
            </w:r>
          </w:p>
        </w:tc>
        <w:tc>
          <w:tcPr>
            <w:tcW w:w="159" w:type="dxa"/>
            <w:tcBorders/>
            <w:vAlign w:val="bottom"/>
          </w:tcPr>
          <w:p>
            <w:pPr>
              <w:pStyle w:val="TableContents"/>
              <w:bidi w:val="0"/>
              <w:spacing w:before="0" w:after="283"/>
              <w:jc w:val="left"/>
              <w:rPr/>
            </w:pPr>
            <w:r>
              <w:rPr/>
              <w:t> </w:t>
            </w:r>
          </w:p>
        </w:tc>
      </w:tr>
      <w:tr>
        <w:trPr/>
        <w:tc>
          <w:tcPr>
            <w:tcW w:w="7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convertible note payable</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8,458</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63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3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b/>
              </w:rPr>
            </w:pPr>
            <w:r>
              <w:rPr>
                <w:b/>
              </w:rPr>
              <w:t>8,476</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b/>
              </w:rPr>
            </w:pPr>
            <w:r>
              <w:rPr>
                <w:b/>
              </w:rPr>
              <w:t>20,551</w:t>
            </w:r>
          </w:p>
        </w:tc>
        <w:tc>
          <w:tcPr>
            <w:tcW w:w="159" w:type="dxa"/>
            <w:tcBorders/>
            <w:vAlign w:val="bottom"/>
          </w:tcPr>
          <w:p>
            <w:pPr>
              <w:pStyle w:val="TableContents"/>
              <w:bidi w:val="0"/>
              <w:spacing w:before="0" w:after="283"/>
              <w:jc w:val="left"/>
              <w:rPr/>
            </w:pPr>
            <w:r>
              <w:rPr/>
              <w:t> </w:t>
            </w:r>
          </w:p>
        </w:tc>
      </w:tr>
      <w:tr>
        <w:trPr/>
        <w:tc>
          <w:tcPr>
            <w:tcW w:w="763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change in cash, cash equivalents and restricted cash</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(3,285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(167</w:t>
            </w:r>
          </w:p>
        </w:tc>
        <w:tc>
          <w:tcPr>
            <w:tcW w:w="159" w:type="dxa"/>
            <w:tcBorders/>
            <w:shd w:fill="CCEEFF" w:val="clear"/>
            <w:vAlign w:val="bottom"/>
          </w:tcPr>
          <w:p>
            <w:pPr>
              <w:pStyle w:val="TableContents"/>
              <w:bidi w:val="0"/>
              <w:spacing w:before="0" w:after="283"/>
              <w:jc w:val="left"/>
              <w:rPr/>
            </w:pPr>
            <w:r>
              <w:rPr/>
              <w:t>) </w:t>
            </w:r>
          </w:p>
        </w:tc>
      </w:tr>
      <w:tr>
        <w:trPr/>
        <w:tc>
          <w:tcPr>
            <w:tcW w:w="763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 beginning of period</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4,761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4,928</w:t>
            </w:r>
          </w:p>
        </w:tc>
        <w:tc>
          <w:tcPr>
            <w:tcW w:w="159" w:type="dxa"/>
            <w:tcBorders/>
            <w:vAlign w:val="bottom"/>
          </w:tcPr>
          <w:p>
            <w:pPr>
              <w:pStyle w:val="TableContents"/>
              <w:bidi w:val="0"/>
              <w:spacing w:before="0" w:after="283"/>
              <w:jc w:val="left"/>
              <w:rPr/>
            </w:pPr>
            <w:r>
              <w:rPr/>
              <w:t> </w:t>
            </w:r>
          </w:p>
        </w:tc>
      </w:tr>
      <w:tr>
        <w:trPr/>
        <w:tc>
          <w:tcPr>
            <w:tcW w:w="763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3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 end of period</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67" w:type="dxa"/>
            <w:tcBorders/>
            <w:shd w:fill="CCEEFF" w:val="clear"/>
            <w:vAlign w:val="bottom"/>
          </w:tcPr>
          <w:p>
            <w:pPr>
              <w:pStyle w:val="TableContents"/>
              <w:bidi w:val="0"/>
              <w:spacing w:before="0" w:after="283"/>
              <w:jc w:val="right"/>
              <w:rPr>
                <w:b/>
              </w:rPr>
            </w:pPr>
            <w:r>
              <w:rPr>
                <w:b/>
              </w:rPr>
              <w:t>1,476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67" w:type="dxa"/>
            <w:tcBorders/>
            <w:shd w:fill="CCEEFF" w:val="clear"/>
            <w:vAlign w:val="bottom"/>
          </w:tcPr>
          <w:p>
            <w:pPr>
              <w:pStyle w:val="TableContents"/>
              <w:bidi w:val="0"/>
              <w:spacing w:before="0" w:after="283"/>
              <w:jc w:val="right"/>
              <w:rPr>
                <w:b/>
              </w:rPr>
            </w:pPr>
            <w:r>
              <w:rPr>
                <w:b/>
              </w:rPr>
              <w:t>4,761</w:t>
            </w:r>
          </w:p>
        </w:tc>
        <w:tc>
          <w:tcPr>
            <w:tcW w:w="159" w:type="dxa"/>
            <w:tcBorders/>
            <w:shd w:fill="CCEEFF" w:val="clear"/>
            <w:vAlign w:val="bottom"/>
          </w:tcPr>
          <w:p>
            <w:pPr>
              <w:pStyle w:val="TableContents"/>
              <w:bidi w:val="0"/>
              <w:spacing w:before="0" w:after="283"/>
              <w:jc w:val="left"/>
              <w:rPr/>
            </w:pPr>
            <w:r>
              <w:rPr/>
              <w:t> </w:t>
            </w:r>
          </w:p>
        </w:tc>
      </w:tr>
      <w:tr>
        <w:trPr/>
        <w:tc>
          <w:tcPr>
            <w:tcW w:w="763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32"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6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Costs incurred in connection with reverse merger included in accounts payable and accrued expenses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67" w:type="dxa"/>
            <w:tcBorders/>
            <w:shd w:fill="CCEEFF" w:val="clear"/>
            <w:vAlign w:val="bottom"/>
          </w:tcPr>
          <w:p>
            <w:pPr>
              <w:pStyle w:val="TableContents"/>
              <w:bidi w:val="0"/>
              <w:spacing w:before="0" w:after="283"/>
              <w:jc w:val="right"/>
              <w:rPr>
                <w:b/>
              </w:rPr>
            </w:pPr>
            <w:r>
              <w:rPr>
                <w:b/>
              </w:rPr>
              <w:t>1,313</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67" w:type="dxa"/>
            <w:tcBorders/>
            <w:shd w:fill="CCEEFF" w:val="clear"/>
            <w:vAlign w:val="bottom"/>
          </w:tcPr>
          <w:p>
            <w:pPr>
              <w:pStyle w:val="TableContents"/>
              <w:bidi w:val="0"/>
              <w:spacing w:before="0" w:after="283"/>
              <w:jc w:val="right"/>
              <w:rPr>
                <w:b/>
              </w:rPr>
            </w:pPr>
            <w:r>
              <w:rPr>
                <w:b/>
              </w:rPr>
              <w:t>  </w:t>
            </w:r>
          </w:p>
        </w:tc>
        <w:tc>
          <w:tcPr>
            <w:tcW w:w="159" w:type="dxa"/>
            <w:tcBorders/>
            <w:shd w:fill="CCEEFF" w:val="clear"/>
            <w:vAlign w:val="bottom"/>
          </w:tcPr>
          <w:p>
            <w:pPr>
              <w:pStyle w:val="TableContents"/>
              <w:bidi w:val="0"/>
              <w:spacing w:before="0" w:after="283"/>
              <w:jc w:val="left"/>
              <w:rPr/>
            </w:pPr>
            <w:r>
              <w:rPr/>
              <w:t> </w:t>
            </w:r>
          </w:p>
        </w:tc>
      </w:tr>
      <w:tr>
        <w:trPr/>
        <w:tc>
          <w:tcPr>
            <w:tcW w:w="763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32" w:type="dxa"/>
            <w:tcBorders/>
          </w:tcPr>
          <w:p>
            <w:pPr>
              <w:pStyle w:val="TableContents"/>
              <w:bidi w:val="0"/>
              <w:spacing w:before="0" w:after="0"/>
              <w:jc w:val="left"/>
              <w:rPr>
                <w:rFonts w:ascii="Times New Roman" w:hAnsi="Times New Roman"/>
                <w:b/>
                <w:sz w:val="20"/>
              </w:rPr>
            </w:pPr>
            <w:r>
              <w:rPr>
                <w:rFonts w:ascii="Times New Roman" w:hAnsi="Times New Roman"/>
                <w:b/>
                <w:sz w:val="20"/>
              </w:rPr>
              <w:t>Costs incurred in connection with initial public offering included in accounts payable and accrued expenses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67"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67" w:type="dxa"/>
            <w:tcBorders/>
            <w:vAlign w:val="bottom"/>
          </w:tcPr>
          <w:p>
            <w:pPr>
              <w:pStyle w:val="TableContents"/>
              <w:bidi w:val="0"/>
              <w:spacing w:before="0" w:after="283"/>
              <w:jc w:val="right"/>
              <w:rPr>
                <w:b/>
              </w:rPr>
            </w:pPr>
            <w:r>
              <w:rPr>
                <w:b/>
              </w:rPr>
              <w:t>339</w:t>
            </w:r>
          </w:p>
        </w:tc>
        <w:tc>
          <w:tcPr>
            <w:tcW w:w="159" w:type="dxa"/>
            <w:tcBorders/>
            <w:vAlign w:val="bottom"/>
          </w:tcPr>
          <w:p>
            <w:pPr>
              <w:pStyle w:val="TableContents"/>
              <w:bidi w:val="0"/>
              <w:spacing w:before="0" w:after="283"/>
              <w:jc w:val="left"/>
              <w:rPr/>
            </w:pPr>
            <w:r>
              <w:rPr/>
              <w:t> </w:t>
            </w:r>
          </w:p>
        </w:tc>
      </w:tr>
      <w:tr>
        <w:trPr/>
        <w:tc>
          <w:tcPr>
            <w:tcW w:w="763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Preferred stock issuance costs included in accounts payable and accrued expenses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67"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67" w:type="dxa"/>
            <w:tcBorders/>
            <w:shd w:fill="CCEEFF" w:val="clear"/>
            <w:vAlign w:val="bottom"/>
          </w:tcPr>
          <w:p>
            <w:pPr>
              <w:pStyle w:val="TableContents"/>
              <w:bidi w:val="0"/>
              <w:spacing w:before="0" w:after="283"/>
              <w:jc w:val="right"/>
              <w:rPr>
                <w:b/>
              </w:rPr>
            </w:pPr>
            <w:r>
              <w:rPr>
                <w:b/>
              </w:rPr>
              <w:t>17</w:t>
            </w:r>
          </w:p>
        </w:tc>
        <w:tc>
          <w:tcPr>
            <w:tcW w:w="159" w:type="dxa"/>
            <w:tcBorders/>
            <w:shd w:fill="CCEEFF" w:val="clear"/>
            <w:vAlign w:val="bottom"/>
          </w:tcPr>
          <w:p>
            <w:pPr>
              <w:pStyle w:val="TableContents"/>
              <w:bidi w:val="0"/>
              <w:spacing w:before="0" w:after="283"/>
              <w:jc w:val="left"/>
              <w:rPr/>
            </w:pPr>
            <w:r>
              <w:rPr/>
              <w:t> </w:t>
            </w:r>
          </w:p>
        </w:tc>
      </w:tr>
      <w:tr>
        <w:trPr/>
        <w:tc>
          <w:tcPr>
            <w:tcW w:w="763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32" w:type="dxa"/>
            <w:tcBorders/>
          </w:tcPr>
          <w:p>
            <w:pPr>
              <w:pStyle w:val="TableContents"/>
              <w:bidi w:val="0"/>
              <w:spacing w:before="0" w:after="0"/>
              <w:jc w:val="left"/>
              <w:rPr>
                <w:rFonts w:ascii="Times New Roman" w:hAnsi="Times New Roman"/>
                <w:b/>
                <w:sz w:val="20"/>
              </w:rPr>
            </w:pPr>
            <w:r>
              <w:rPr>
                <w:rFonts w:ascii="Times New Roman" w:hAnsi="Times New Roman"/>
                <w:b/>
                <w:sz w:val="20"/>
              </w:rPr>
              <w:t>Purchase of property and equipment included in accounts payable</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67"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67" w:type="dxa"/>
            <w:tcBorders/>
            <w:vAlign w:val="bottom"/>
          </w:tcPr>
          <w:p>
            <w:pPr>
              <w:pStyle w:val="TableContents"/>
              <w:bidi w:val="0"/>
              <w:spacing w:before="0" w:after="283"/>
              <w:jc w:val="right"/>
              <w:rPr>
                <w:b/>
              </w:rPr>
            </w:pPr>
            <w:r>
              <w:rPr>
                <w:b/>
              </w:rPr>
              <w:t>58</w:t>
            </w:r>
          </w:p>
        </w:tc>
        <w:tc>
          <w:tcPr>
            <w:tcW w:w="159" w:type="dxa"/>
            <w:tcBorders/>
            <w:vAlign w:val="bottom"/>
          </w:tcPr>
          <w:p>
            <w:pPr>
              <w:pStyle w:val="TableContents"/>
              <w:bidi w:val="0"/>
              <w:spacing w:before="0" w:after="283"/>
              <w:jc w:val="left"/>
              <w:rPr/>
            </w:pPr>
            <w:r>
              <w:rPr/>
              <w:t> </w:t>
            </w:r>
          </w:p>
        </w:tc>
      </w:tr>
      <w:tr>
        <w:trPr/>
        <w:tc>
          <w:tcPr>
            <w:tcW w:w="763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financial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CalciMedica,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Organization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CalciMedica, Inc. (CalciMedica or the Company) was incorporated in the state of Delaware in October 2006 and has its principal operations in San Diego, California. The Company is a clinical-stage biopharmaceutical company focused on developing therapeutics that treat serious illnesses driven by inflammatory processes and direct cellular damage.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Reverse Merger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March 20, 2023, Graybug Vision, Inc. (Graybug), a Delaware corporation, completed a merger transaction in accordance with the terms and conditions of the Agreement and Plan of Merger and Reorganization, dated as of November 21, 2022, as amended on February 10, 2023 (the Merger Agreement), by and among Graybug, Camaro Merger Sub, Inc., a wholly owned subsidiary of Graybug (Merger Sub), and CalciMedica, pursuant to which Merger Sub merged with and into CalciMedica, with CalciMedica surviving the Merger as a wholly owned subsidiary of Graybug (the Merger). Additionally, the Company changed its name from Graybug Vision, Inc. to CalciMedica, Inc.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each outstanding share of CalciMedica capital stock (after giving effect to the automatic conversion of all shares of CalciMedica preferred stock into shares of CalciMedica common stock (Preferred Stock Conversion), the automatic exercise of certain CalciMedica warrants to purchase shares of CalciMedica common stock in accordance with their terms (the CalciMedica warrant exercises), the conversion of CalciMedica convertible promissory notes, into CalciMedica common stock (convertible promissory note conversion) and the closing of the private placement (as discussed in Note 8), was converted into the right to receive 0.0288 shares of Graybug common stock, which resulted in the issuance by Graybug of an aggregate of 3,946,538 shares of Graybug common stock to the stockholders of CalciMedica in a transaction exempt from registration under the Securities Act of 1933 (the Securities Act). In addition, Graybug assumed the CalciMedica Amended and Restated 2006 Stock Plan (the 2006 Plan) and each outstanding and unexercised option to purchase CalciMedica common stock and each outstanding and unexercised warrant to purchase CalciMedica common stock (excluding the warrants which were automatically exercised pursuant to the CalciMedica warrant exercises) which became options and warrants to purchase shares of Graybug common stock. Immediately following the consummation of the Merger prior CalciMedica and Graybug stockholders collectively own approximately 72% and 28% of the Company, respectively, on a fully diluted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 The Company has experienced net losses and negative cash flows from operating activities since its inception. The Company has an accumulated deficit of $111.7 million (as restated) as of December 31, 2022 and a net loss of $7.8 million (as restated) for the year then ended. Substantially all of Companys operating losses resulted from expenses incurred in connection with its research and development programs and from general and administrative costs associated with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incur significant expenses and increasing operating losses for the foreseeable future as the Company initiates and continues the preclinical and clinical development of its product candidates and adds personnel necessary to operate as a company with an advanced clinical pipeline of product candidates. In addition, after completion of the Merger, operating as a SEC registrant will involve the hiring of additional financial and other personnel, upgrading financial information systems, and incurring costs associated with operating as a public company. The Company expects that its operating losses will fluctuate significantly from quarter-to-quarter and year-to-year due to timing of clinical development programs. </w:t>
      </w:r>
    </w:p>
    <w:p>
      <w:pPr>
        <w:pStyle w:val="TextBody"/>
        <w:bidi w:val="0"/>
        <w:spacing w:before="240" w:after="0"/>
        <w:jc w:val="left"/>
        <w:rPr>
          <w:rFonts w:ascii="Times New Roman" w:hAnsi="Times New Roman"/>
          <w:sz w:val="20"/>
        </w:rPr>
      </w:pPr>
      <w:r>
        <w:rPr>
          <w:rFonts w:ascii="Times New Roman" w:hAnsi="Times New Roman"/>
          <w:sz w:val="20"/>
        </w:rPr>
        <w:t xml:space="preserve">From inception to December 31, 2022, the Company has completed financings from the sale of preferred and common stock for total gross proceeds of $101.4 million and has issued convertible debt for gross proceeds of $8.6 million. As of December 31, 2022, the Company had cash and cash equivalents of approximately $1.3 million. In connection with the Merger, the Company completed a private placement of common stock for gross proceeds of $10.3 million and received approximately $23.9 million from the Merger in March 2023. With these funds, the Company expects to be able to fund its operations beyond 12 months from the date of the issuance of the accompanying financial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 Restatement of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for the year ended December 31 2022, were restated to correct an error in the previously as reported items. </w:t>
      </w:r>
    </w:p>
    <w:p>
      <w:pPr>
        <w:pStyle w:val="TextBody"/>
        <w:bidi w:val="0"/>
        <w:spacing w:before="240" w:after="0"/>
        <w:jc w:val="left"/>
        <w:rPr>
          <w:rFonts w:ascii="Times New Roman" w:hAnsi="Times New Roman"/>
          <w:sz w:val="20"/>
        </w:rPr>
      </w:pPr>
      <w:r>
        <w:rPr>
          <w:rFonts w:ascii="Times New Roman" w:hAnsi="Times New Roman"/>
          <w:sz w:val="20"/>
        </w:rPr>
        <w:t xml:space="preserve">The misstatement was caused by inaccurate valuation calculations for the convertible promissory notes and warrant liability balances as of December 31, 2022 as the valuation model failed to appropriately consider the existence of the estimated conversion computation included in the Merger agreement, which was executed in November 2022. Based on the Companys reassessment, it determined that the carrying values for the convertible promissory notes and warrant liability as of December 31, 2022, were overstated by $3.8 million and $1.6 million, respectively. As a result, for the year ended December 31, 2022, the Companys net loss and comprehensive loss and net loss per share attributable to common stockholders decreased by $6.7 million and $1.88 per share (or $65.22 per share recasted), respectively. The difference between the net loss and comprehensive loss and the change in fair values of the convertible promissory notes and warrant liability is the deemed distribution to convertible promissory note holders of $1.3 million. </w:t>
      </w:r>
    </w:p>
    <w:p>
      <w:pPr>
        <w:pStyle w:val="TextBody"/>
        <w:bidi w:val="0"/>
        <w:spacing w:before="240" w:after="0"/>
        <w:jc w:val="left"/>
        <w:rPr>
          <w:rFonts w:ascii="Times New Roman" w:hAnsi="Times New Roman"/>
          <w:sz w:val="20"/>
        </w:rPr>
      </w:pPr>
      <w:r>
        <w:rPr>
          <w:rFonts w:ascii="Times New Roman" w:hAnsi="Times New Roman"/>
          <w:sz w:val="20"/>
        </w:rPr>
        <w:t xml:space="preserve">The restatements were made in accordance with the provisions of Accounting Standards Codification (ASC) 250, Accounting Changes and Error Corrections. The disclosure provision of ASC 250 requires a company that corrects an error to disclose that its previously issued financial statements have been restated, a description of the nature of the error, the effect of the correction on each financial statement line item and any per share amount affected for each prior period presented, and the cumulative effect on accumulated deficit in the statement of financial position as of the beginning of the earliest period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Impact of the Restatement </w:t>
      </w:r>
    </w:p>
    <w:p>
      <w:pPr>
        <w:pStyle w:val="TextBody"/>
        <w:bidi w:val="0"/>
        <w:spacing w:before="120" w:after="0"/>
        <w:jc w:val="left"/>
        <w:rPr>
          <w:rFonts w:ascii="Times New Roman" w:hAnsi="Times New Roman"/>
          <w:sz w:val="20"/>
        </w:rPr>
      </w:pPr>
      <w:r>
        <w:rPr>
          <w:rFonts w:ascii="Times New Roman" w:hAnsi="Times New Roman"/>
          <w:sz w:val="20"/>
        </w:rPr>
        <w:t xml:space="preserve">See below for a reconciliation from the previously reported to the restated amounts as of and for the year ended December 31, 2022. The previously reported amounts were derived from the Companys financial statements as of and for the year ended December 31, 2022, as included in Exhibit 99.1 of the Companys Form 8-K/A filed on April 4, 2023. These amounts are labelled as As Previously Reported in the tables below. The amounts labeled Restatement Adjustment represent the effects of this restatement due to the change in the carrying value of the convertible promissory notes and warrant liability on the balance sheet, reflected on the statement of operations and comprehensive loss as changes in fair value of the convertible promissory notes and warrant liability and a deemed distribution in the statement of stockholders deficit.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presents a reconciliation of the impacted financial statement line items as previously reported to the restated amounts as of December 31, 2022, and for the year then ended (in thousands except per share amounts):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52"/>
        <w:gridCol w:w="265"/>
        <w:gridCol w:w="186"/>
        <w:gridCol w:w="1196"/>
        <w:gridCol w:w="155"/>
        <w:gridCol w:w="223"/>
        <w:gridCol w:w="213"/>
        <w:gridCol w:w="988"/>
        <w:gridCol w:w="155"/>
        <w:gridCol w:w="223"/>
        <w:gridCol w:w="140"/>
        <w:gridCol w:w="917"/>
        <w:gridCol w:w="159"/>
      </w:tblGrid>
      <w:tr>
        <w:trPr/>
        <w:tc>
          <w:tcPr>
            <w:tcW w:w="3752"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4396" w:type="dxa"/>
            <w:gridSpan w:val="10"/>
            <w:tcBorders/>
            <w:vAlign w:val="bottom"/>
          </w:tcPr>
          <w:p>
            <w:pPr>
              <w:pStyle w:val="TableContents"/>
              <w:bidi w:val="0"/>
              <w:spacing w:before="0" w:after="283"/>
              <w:jc w:val="center"/>
              <w:rPr/>
            </w:pPr>
            <w:r>
              <w:rPr/>
              <w:t>As of December 31, 2022</w:t>
            </w:r>
          </w:p>
        </w:tc>
        <w:tc>
          <w:tcPr>
            <w:tcW w:w="159" w:type="dxa"/>
            <w:tcBorders/>
            <w:vAlign w:val="bottom"/>
          </w:tcPr>
          <w:p>
            <w:pPr>
              <w:pStyle w:val="TableContents"/>
              <w:bidi w:val="0"/>
              <w:spacing w:before="0" w:after="283"/>
              <w:jc w:val="left"/>
              <w:rPr/>
            </w:pPr>
            <w:r>
              <w:rPr/>
              <w:t> </w:t>
            </w:r>
          </w:p>
        </w:tc>
      </w:tr>
      <w:tr>
        <w:trPr/>
        <w:tc>
          <w:tcPr>
            <w:tcW w:w="375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382" w:type="dxa"/>
            <w:gridSpan w:val="2"/>
            <w:tcBorders>
              <w:bottom w:val="single" w:sz="8" w:space="0" w:color="000000"/>
            </w:tcBorders>
            <w:tcMar>
              <w:bottom w:w="28" w:type="dxa"/>
            </w:tcMar>
            <w:vAlign w:val="bottom"/>
          </w:tcPr>
          <w:p>
            <w:pPr>
              <w:pStyle w:val="TableContents"/>
              <w:bidi w:val="0"/>
              <w:spacing w:before="0" w:after="283"/>
              <w:jc w:val="center"/>
              <w:rPr/>
            </w:pPr>
            <w:r>
              <w:rPr/>
              <w:t>As Previously</w:t>
              <w:br/>
              <w:t>Reported</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Restatement</w:t>
              <w:br/>
              <w:t>Adjustment</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bottom"/>
          </w:tcPr>
          <w:p>
            <w:pPr>
              <w:pStyle w:val="TableContents"/>
              <w:bidi w:val="0"/>
              <w:spacing w:before="0" w:after="283"/>
              <w:jc w:val="center"/>
              <w:rPr/>
            </w:pPr>
            <w:r>
              <w:rPr/>
              <w:t>As Restated</w:t>
            </w:r>
          </w:p>
        </w:tc>
        <w:tc>
          <w:tcPr>
            <w:tcW w:w="159" w:type="dxa"/>
            <w:tcBorders/>
            <w:vAlign w:val="bottom"/>
          </w:tcPr>
          <w:p>
            <w:pPr>
              <w:pStyle w:val="TableContents"/>
              <w:bidi w:val="0"/>
              <w:spacing w:before="0" w:after="283"/>
              <w:jc w:val="left"/>
              <w:rPr/>
            </w:pPr>
            <w:r>
              <w:rPr/>
              <w:t> </w:t>
            </w:r>
          </w:p>
        </w:tc>
      </w:tr>
      <w:tr>
        <w:trPr/>
        <w:tc>
          <w:tcPr>
            <w:tcW w:w="37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w:t>
            </w:r>
          </w:p>
        </w:tc>
        <w:tc>
          <w:tcPr>
            <w:tcW w:w="26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52"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26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196" w:type="dxa"/>
            <w:tcBorders/>
            <w:vAlign w:val="bottom"/>
          </w:tcPr>
          <w:p>
            <w:pPr>
              <w:pStyle w:val="TableContents"/>
              <w:bidi w:val="0"/>
              <w:spacing w:before="0" w:after="283"/>
              <w:jc w:val="right"/>
              <w:rPr/>
            </w:pPr>
            <w:r>
              <w:rPr/>
              <w:t>4,248</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(1,603</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2,645</w:t>
            </w:r>
          </w:p>
        </w:tc>
        <w:tc>
          <w:tcPr>
            <w:tcW w:w="159" w:type="dxa"/>
            <w:tcBorders/>
            <w:vAlign w:val="bottom"/>
          </w:tcPr>
          <w:p>
            <w:pPr>
              <w:pStyle w:val="TableContents"/>
              <w:bidi w:val="0"/>
              <w:spacing w:before="0" w:after="283"/>
              <w:jc w:val="left"/>
              <w:rPr/>
            </w:pPr>
            <w:r>
              <w:rPr/>
              <w:t> </w:t>
            </w:r>
          </w:p>
        </w:tc>
      </w:tr>
      <w:tr>
        <w:trPr/>
        <w:tc>
          <w:tcPr>
            <w:tcW w:w="3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promissory notes</w:t>
            </w:r>
          </w:p>
        </w:tc>
        <w:tc>
          <w:tcPr>
            <w:tcW w:w="26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96" w:type="dxa"/>
            <w:tcBorders/>
            <w:shd w:fill="CCEEFF" w:val="clear"/>
            <w:vAlign w:val="bottom"/>
          </w:tcPr>
          <w:p>
            <w:pPr>
              <w:pStyle w:val="TableContents"/>
              <w:bidi w:val="0"/>
              <w:spacing w:before="0" w:after="283"/>
              <w:jc w:val="right"/>
              <w:rPr/>
            </w:pPr>
            <w:r>
              <w:rPr/>
              <w:t>8,918</w:t>
            </w:r>
          </w:p>
        </w:tc>
        <w:tc>
          <w:tcPr>
            <w:tcW w:w="1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(3,761</w:t>
            </w:r>
          </w:p>
        </w:tc>
        <w:tc>
          <w:tcPr>
            <w:tcW w:w="1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5,157</w:t>
            </w:r>
          </w:p>
        </w:tc>
        <w:tc>
          <w:tcPr>
            <w:tcW w:w="159" w:type="dxa"/>
            <w:tcBorders/>
            <w:shd w:fill="CCEEFF" w:val="clear"/>
            <w:vAlign w:val="bottom"/>
          </w:tcPr>
          <w:p>
            <w:pPr>
              <w:pStyle w:val="TableContents"/>
              <w:bidi w:val="0"/>
              <w:spacing w:before="0" w:after="283"/>
              <w:jc w:val="left"/>
              <w:rPr/>
            </w:pPr>
            <w:r>
              <w:rPr/>
              <w:t> </w:t>
            </w:r>
          </w:p>
        </w:tc>
      </w:tr>
      <w:tr>
        <w:trPr/>
        <w:tc>
          <w:tcPr>
            <w:tcW w:w="375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6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196" w:type="dxa"/>
            <w:tcBorders/>
            <w:vAlign w:val="bottom"/>
          </w:tcPr>
          <w:p>
            <w:pPr>
              <w:pStyle w:val="TableContents"/>
              <w:bidi w:val="0"/>
              <w:spacing w:before="0" w:after="283"/>
              <w:jc w:val="right"/>
              <w:rPr/>
            </w:pPr>
            <w:r>
              <w:rPr/>
              <w:t>17,946</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(5,364</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12,582</w:t>
            </w:r>
          </w:p>
        </w:tc>
        <w:tc>
          <w:tcPr>
            <w:tcW w:w="159" w:type="dxa"/>
            <w:tcBorders/>
            <w:vAlign w:val="bottom"/>
          </w:tcPr>
          <w:p>
            <w:pPr>
              <w:pStyle w:val="TableContents"/>
              <w:bidi w:val="0"/>
              <w:spacing w:before="0" w:after="283"/>
              <w:jc w:val="left"/>
              <w:rPr/>
            </w:pPr>
            <w:r>
              <w:rPr/>
              <w:t> </w:t>
            </w:r>
          </w:p>
        </w:tc>
      </w:tr>
      <w:tr>
        <w:trPr/>
        <w:tc>
          <w:tcPr>
            <w:tcW w:w="3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6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96" w:type="dxa"/>
            <w:tcBorders/>
            <w:shd w:fill="CCEEFF" w:val="clear"/>
            <w:vAlign w:val="bottom"/>
          </w:tcPr>
          <w:p>
            <w:pPr>
              <w:pStyle w:val="TableContents"/>
              <w:bidi w:val="0"/>
              <w:spacing w:before="0" w:after="283"/>
              <w:jc w:val="right"/>
              <w:rPr/>
            </w:pPr>
            <w:r>
              <w:rPr/>
              <w:t>41,718</w:t>
            </w:r>
          </w:p>
        </w:tc>
        <w:tc>
          <w:tcPr>
            <w:tcW w:w="1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(1,318</w:t>
            </w:r>
          </w:p>
        </w:tc>
        <w:tc>
          <w:tcPr>
            <w:tcW w:w="1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40,400</w:t>
            </w:r>
          </w:p>
        </w:tc>
        <w:tc>
          <w:tcPr>
            <w:tcW w:w="159" w:type="dxa"/>
            <w:tcBorders/>
            <w:shd w:fill="CCEEFF" w:val="clear"/>
            <w:vAlign w:val="bottom"/>
          </w:tcPr>
          <w:p>
            <w:pPr>
              <w:pStyle w:val="TableContents"/>
              <w:bidi w:val="0"/>
              <w:spacing w:before="0" w:after="283"/>
              <w:jc w:val="left"/>
              <w:rPr/>
            </w:pPr>
            <w:r>
              <w:rPr/>
              <w:t> </w:t>
            </w:r>
          </w:p>
        </w:tc>
      </w:tr>
      <w:tr>
        <w:trPr/>
        <w:tc>
          <w:tcPr>
            <w:tcW w:w="375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6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196" w:type="dxa"/>
            <w:tcBorders/>
            <w:vAlign w:val="bottom"/>
          </w:tcPr>
          <w:p>
            <w:pPr>
              <w:pStyle w:val="TableContents"/>
              <w:bidi w:val="0"/>
              <w:spacing w:before="0" w:after="283"/>
              <w:jc w:val="right"/>
              <w:rPr/>
            </w:pPr>
            <w:r>
              <w:rPr/>
              <w:t>(118,389</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6,682</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(111,707</w:t>
            </w:r>
          </w:p>
        </w:tc>
        <w:tc>
          <w:tcPr>
            <w:tcW w:w="159" w:type="dxa"/>
            <w:tcBorders/>
            <w:vAlign w:val="bottom"/>
          </w:tcPr>
          <w:p>
            <w:pPr>
              <w:pStyle w:val="TableContents"/>
              <w:bidi w:val="0"/>
              <w:spacing w:before="0" w:after="283"/>
              <w:jc w:val="left"/>
              <w:rPr/>
            </w:pPr>
            <w:r>
              <w:rPr/>
              <w:t>) </w:t>
            </w:r>
          </w:p>
        </w:tc>
      </w:tr>
      <w:tr>
        <w:trPr/>
        <w:tc>
          <w:tcPr>
            <w:tcW w:w="3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6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96" w:type="dxa"/>
            <w:tcBorders/>
            <w:shd w:fill="CCEEFF" w:val="clear"/>
            <w:vAlign w:val="bottom"/>
          </w:tcPr>
          <w:p>
            <w:pPr>
              <w:pStyle w:val="TableContents"/>
              <w:bidi w:val="0"/>
              <w:spacing w:before="0" w:after="283"/>
              <w:jc w:val="right"/>
              <w:rPr/>
            </w:pPr>
            <w:r>
              <w:rPr/>
              <w:t>(76,668</w:t>
            </w:r>
          </w:p>
        </w:tc>
        <w:tc>
          <w:tcPr>
            <w:tcW w:w="1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5,364</w:t>
            </w:r>
          </w:p>
        </w:tc>
        <w:tc>
          <w:tcPr>
            <w:tcW w:w="1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(71,304</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813"/>
        <w:gridCol w:w="301"/>
        <w:gridCol w:w="217"/>
        <w:gridCol w:w="1163"/>
        <w:gridCol w:w="155"/>
        <w:gridCol w:w="261"/>
        <w:gridCol w:w="218"/>
        <w:gridCol w:w="971"/>
        <w:gridCol w:w="155"/>
        <w:gridCol w:w="261"/>
        <w:gridCol w:w="140"/>
        <w:gridCol w:w="755"/>
        <w:gridCol w:w="162"/>
      </w:tblGrid>
      <w:tr>
        <w:trPr/>
        <w:tc>
          <w:tcPr>
            <w:tcW w:w="3813"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13"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4296" w:type="dxa"/>
            <w:gridSpan w:val="10"/>
            <w:tcBorders/>
            <w:vAlign w:val="bottom"/>
          </w:tcPr>
          <w:p>
            <w:pPr>
              <w:pStyle w:val="TableContents"/>
              <w:bidi w:val="0"/>
              <w:spacing w:before="0" w:after="283"/>
              <w:jc w:val="center"/>
              <w:rPr/>
            </w:pPr>
            <w:r>
              <w:rPr/>
              <w:t>Year ended December 31, 2022</w:t>
            </w:r>
          </w:p>
        </w:tc>
        <w:tc>
          <w:tcPr>
            <w:tcW w:w="162" w:type="dxa"/>
            <w:tcBorders/>
            <w:vAlign w:val="bottom"/>
          </w:tcPr>
          <w:p>
            <w:pPr>
              <w:pStyle w:val="TableContents"/>
              <w:bidi w:val="0"/>
              <w:spacing w:before="0" w:after="283"/>
              <w:jc w:val="left"/>
              <w:rPr/>
            </w:pPr>
            <w:r>
              <w:rPr/>
              <w:t> </w:t>
            </w:r>
          </w:p>
        </w:tc>
      </w:tr>
      <w:tr>
        <w:trPr/>
        <w:tc>
          <w:tcPr>
            <w:tcW w:w="3813"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pPr>
            <w:r>
              <w:rPr/>
              <w:t>As Previously</w:t>
              <w:br/>
              <w:t>Reported</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bottom"/>
          </w:tcPr>
          <w:p>
            <w:pPr>
              <w:pStyle w:val="TableContents"/>
              <w:bidi w:val="0"/>
              <w:spacing w:before="0" w:after="283"/>
              <w:jc w:val="center"/>
              <w:rPr/>
            </w:pPr>
            <w:r>
              <w:rPr/>
              <w:t>Restatement</w:t>
              <w:br/>
              <w:t>Adjustment</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As</w:t>
              <w:br/>
              <w:t>Restated</w:t>
            </w:r>
          </w:p>
        </w:tc>
        <w:tc>
          <w:tcPr>
            <w:tcW w:w="162" w:type="dxa"/>
            <w:tcBorders/>
            <w:vAlign w:val="bottom"/>
          </w:tcPr>
          <w:p>
            <w:pPr>
              <w:pStyle w:val="TableContents"/>
              <w:bidi w:val="0"/>
              <w:spacing w:before="0" w:after="283"/>
              <w:jc w:val="left"/>
              <w:rPr/>
            </w:pPr>
            <w:r>
              <w:rPr/>
              <w:t> </w:t>
            </w:r>
          </w:p>
        </w:tc>
      </w:tr>
      <w:tr>
        <w:trPr/>
        <w:tc>
          <w:tcPr>
            <w:tcW w:w="381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Statement of Operations and Comprehensive Loss</w:t>
            </w:r>
          </w:p>
        </w:tc>
        <w:tc>
          <w:tcPr>
            <w:tcW w:w="30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813"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30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2,558</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971" w:type="dxa"/>
            <w:tcBorders/>
            <w:vAlign w:val="bottom"/>
          </w:tcPr>
          <w:p>
            <w:pPr>
              <w:pStyle w:val="TableContents"/>
              <w:bidi w:val="0"/>
              <w:spacing w:before="0" w:after="283"/>
              <w:jc w:val="right"/>
              <w:rPr/>
            </w:pPr>
            <w:r>
              <w:rPr/>
              <w:t>1,226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3,784</w:t>
            </w:r>
          </w:p>
        </w:tc>
        <w:tc>
          <w:tcPr>
            <w:tcW w:w="162" w:type="dxa"/>
            <w:tcBorders/>
            <w:vAlign w:val="bottom"/>
          </w:tcPr>
          <w:p>
            <w:pPr>
              <w:pStyle w:val="TableContents"/>
              <w:bidi w:val="0"/>
              <w:spacing w:before="0" w:after="283"/>
              <w:jc w:val="left"/>
              <w:rPr/>
            </w:pPr>
            <w:r>
              <w:rPr/>
              <w:t> </w:t>
            </w:r>
          </w:p>
        </w:tc>
      </w:tr>
      <w:tr>
        <w:trPr/>
        <w:tc>
          <w:tcPr>
            <w:tcW w:w="3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promissory notes</w:t>
            </w:r>
          </w:p>
        </w:tc>
        <w:tc>
          <w:tcPr>
            <w:tcW w:w="30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(2,711</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971" w:type="dxa"/>
            <w:tcBorders/>
            <w:shd w:fill="CCEEFF" w:val="clear"/>
            <w:vAlign w:val="bottom"/>
          </w:tcPr>
          <w:p>
            <w:pPr>
              <w:pStyle w:val="TableContents"/>
              <w:bidi w:val="0"/>
              <w:spacing w:before="0" w:after="283"/>
              <w:jc w:val="right"/>
              <w:rPr/>
            </w:pPr>
            <w:r>
              <w:rPr/>
              <w:t>5,456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2,745</w:t>
            </w:r>
          </w:p>
        </w:tc>
        <w:tc>
          <w:tcPr>
            <w:tcW w:w="162" w:type="dxa"/>
            <w:tcBorders/>
            <w:shd w:fill="CCEEFF" w:val="clear"/>
            <w:vAlign w:val="bottom"/>
          </w:tcPr>
          <w:p>
            <w:pPr>
              <w:pStyle w:val="TableContents"/>
              <w:bidi w:val="0"/>
              <w:spacing w:before="0" w:after="283"/>
              <w:jc w:val="left"/>
              <w:rPr/>
            </w:pPr>
            <w:r>
              <w:rPr/>
              <w:t> </w:t>
            </w:r>
          </w:p>
        </w:tc>
      </w:tr>
      <w:tr>
        <w:trPr/>
        <w:tc>
          <w:tcPr>
            <w:tcW w:w="3813"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income/(expense), net</w:t>
            </w:r>
          </w:p>
        </w:tc>
        <w:tc>
          <w:tcPr>
            <w:tcW w:w="30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(313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971" w:type="dxa"/>
            <w:tcBorders/>
            <w:vAlign w:val="bottom"/>
          </w:tcPr>
          <w:p>
            <w:pPr>
              <w:pStyle w:val="TableContents"/>
              <w:bidi w:val="0"/>
              <w:spacing w:before="0" w:after="283"/>
              <w:jc w:val="right"/>
              <w:rPr/>
            </w:pPr>
            <w:r>
              <w:rPr/>
              <w:t>6,682</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6,369</w:t>
            </w:r>
          </w:p>
        </w:tc>
        <w:tc>
          <w:tcPr>
            <w:tcW w:w="162" w:type="dxa"/>
            <w:tcBorders/>
            <w:vAlign w:val="bottom"/>
          </w:tcPr>
          <w:p>
            <w:pPr>
              <w:pStyle w:val="TableContents"/>
              <w:bidi w:val="0"/>
              <w:spacing w:before="0" w:after="283"/>
              <w:jc w:val="left"/>
              <w:rPr/>
            </w:pPr>
            <w:r>
              <w:rPr/>
              <w:t> </w:t>
            </w:r>
          </w:p>
        </w:tc>
      </w:tr>
      <w:tr>
        <w:trPr/>
        <w:tc>
          <w:tcPr>
            <w:tcW w:w="3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30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(14,506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971" w:type="dxa"/>
            <w:tcBorders/>
            <w:shd w:fill="CCEEFF" w:val="clear"/>
            <w:vAlign w:val="bottom"/>
          </w:tcPr>
          <w:p>
            <w:pPr>
              <w:pStyle w:val="TableContents"/>
              <w:bidi w:val="0"/>
              <w:spacing w:before="0" w:after="283"/>
              <w:jc w:val="right"/>
              <w:rPr/>
            </w:pPr>
            <w:r>
              <w:rPr/>
              <w:t>6,682</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(7,824</w:t>
            </w:r>
          </w:p>
        </w:tc>
        <w:tc>
          <w:tcPr>
            <w:tcW w:w="162" w:type="dxa"/>
            <w:tcBorders/>
            <w:shd w:fill="CCEEFF" w:val="clear"/>
            <w:vAlign w:val="bottom"/>
          </w:tcPr>
          <w:p>
            <w:pPr>
              <w:pStyle w:val="TableContents"/>
              <w:bidi w:val="0"/>
              <w:spacing w:before="0" w:after="283"/>
              <w:jc w:val="left"/>
              <w:rPr/>
            </w:pPr>
            <w:r>
              <w:rPr/>
              <w:t>) </w:t>
            </w:r>
          </w:p>
        </w:tc>
      </w:tr>
      <w:tr>
        <w:trPr/>
        <w:tc>
          <w:tcPr>
            <w:tcW w:w="3813" w:type="dxa"/>
            <w:tcBorders/>
          </w:tcPr>
          <w:p>
            <w:pPr>
              <w:pStyle w:val="TableContents"/>
              <w:bidi w:val="0"/>
              <w:spacing w:before="0" w:after="0"/>
              <w:jc w:val="left"/>
              <w:rPr>
                <w:rFonts w:ascii="Times New Roman" w:hAnsi="Times New Roman"/>
                <w:sz w:val="20"/>
              </w:rPr>
            </w:pPr>
            <w:r>
              <w:rPr>
                <w:rFonts w:ascii="Times New Roman" w:hAnsi="Times New Roman"/>
                <w:sz w:val="20"/>
              </w:rPr>
              <w:t>Deemed distribution to convertible promissory note holders</w:t>
            </w:r>
          </w:p>
        </w:tc>
        <w:tc>
          <w:tcPr>
            <w:tcW w:w="30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971" w:type="dxa"/>
            <w:tcBorders/>
            <w:vAlign w:val="bottom"/>
          </w:tcPr>
          <w:p>
            <w:pPr>
              <w:pStyle w:val="TableContents"/>
              <w:bidi w:val="0"/>
              <w:spacing w:before="0" w:after="283"/>
              <w:jc w:val="right"/>
              <w:rPr/>
            </w:pPr>
            <w:r>
              <w:rPr/>
              <w:t>(1,318</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(1,318</w:t>
            </w:r>
          </w:p>
        </w:tc>
        <w:tc>
          <w:tcPr>
            <w:tcW w:w="162" w:type="dxa"/>
            <w:tcBorders/>
            <w:vAlign w:val="bottom"/>
          </w:tcPr>
          <w:p>
            <w:pPr>
              <w:pStyle w:val="TableContents"/>
              <w:bidi w:val="0"/>
              <w:spacing w:before="0" w:after="283"/>
              <w:jc w:val="left"/>
              <w:rPr/>
            </w:pPr>
            <w:r>
              <w:rPr/>
              <w:t>) </w:t>
            </w:r>
          </w:p>
        </w:tc>
      </w:tr>
      <w:tr>
        <w:trPr/>
        <w:tc>
          <w:tcPr>
            <w:tcW w:w="3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 attributable to common stockholders</w:t>
            </w:r>
          </w:p>
        </w:tc>
        <w:tc>
          <w:tcPr>
            <w:tcW w:w="30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971" w:type="dxa"/>
            <w:tcBorders/>
            <w:shd w:fill="CCEEFF" w:val="clear"/>
            <w:vAlign w:val="bottom"/>
          </w:tcPr>
          <w:p>
            <w:pPr>
              <w:pStyle w:val="TableContents"/>
              <w:bidi w:val="0"/>
              <w:spacing w:before="0" w:after="283"/>
              <w:jc w:val="right"/>
              <w:rPr/>
            </w:pPr>
            <w:r>
              <w:rPr/>
              <w:t>(9,142</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(9,142</w:t>
            </w:r>
          </w:p>
        </w:tc>
        <w:tc>
          <w:tcPr>
            <w:tcW w:w="162" w:type="dxa"/>
            <w:tcBorders/>
            <w:shd w:fill="CCEEFF" w:val="clear"/>
            <w:vAlign w:val="bottom"/>
          </w:tcPr>
          <w:p>
            <w:pPr>
              <w:pStyle w:val="TableContents"/>
              <w:bidi w:val="0"/>
              <w:spacing w:before="0" w:after="283"/>
              <w:jc w:val="left"/>
              <w:rPr/>
            </w:pPr>
            <w:r>
              <w:rPr/>
              <w:t>) </w:t>
            </w:r>
          </w:p>
        </w:tc>
      </w:tr>
      <w:tr>
        <w:trPr/>
        <w:tc>
          <w:tcPr>
            <w:tcW w:w="381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 (prior to recast)</w:t>
            </w:r>
          </w:p>
        </w:tc>
        <w:tc>
          <w:tcPr>
            <w:tcW w:w="30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(5.08</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971" w:type="dxa"/>
            <w:tcBorders/>
            <w:vAlign w:val="bottom"/>
          </w:tcPr>
          <w:p>
            <w:pPr>
              <w:pStyle w:val="TableContents"/>
              <w:bidi w:val="0"/>
              <w:spacing w:before="0" w:after="283"/>
              <w:jc w:val="right"/>
              <w:rPr/>
            </w:pPr>
            <w:r>
              <w:rPr/>
              <w:t>1.88</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(3.20</w:t>
            </w:r>
          </w:p>
        </w:tc>
        <w:tc>
          <w:tcPr>
            <w:tcW w:w="162" w:type="dxa"/>
            <w:tcBorders/>
            <w:vAlign w:val="bottom"/>
          </w:tcPr>
          <w:p>
            <w:pPr>
              <w:pStyle w:val="TableContents"/>
              <w:bidi w:val="0"/>
              <w:spacing w:before="0" w:after="283"/>
              <w:jc w:val="left"/>
              <w:rPr/>
            </w:pPr>
            <w:r>
              <w:rPr/>
              <w:t>) </w:t>
            </w:r>
          </w:p>
        </w:tc>
      </w:tr>
      <w:tr>
        <w:trPr/>
        <w:tc>
          <w:tcPr>
            <w:tcW w:w="3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dilutes (recasted)</w:t>
            </w:r>
          </w:p>
        </w:tc>
        <w:tc>
          <w:tcPr>
            <w:tcW w:w="30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(176.38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971" w:type="dxa"/>
            <w:tcBorders/>
            <w:shd w:fill="CCEEFF" w:val="clear"/>
            <w:vAlign w:val="bottom"/>
          </w:tcPr>
          <w:p>
            <w:pPr>
              <w:pStyle w:val="TableContents"/>
              <w:bidi w:val="0"/>
              <w:spacing w:before="0" w:after="283"/>
              <w:jc w:val="right"/>
              <w:rPr/>
            </w:pPr>
            <w:r>
              <w:rPr/>
              <w:t>65.22</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(111.16</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was no impact of these errors on the net cash used in operating activities, net cash used in investing activities and net cash provided by financing activities within the statement of cash flows for the year ended December 31, 2022, as the adjustment effecting the net loss was offset by the change in the value of the convertible promissory notes and warrant liability. </w:t>
      </w:r>
    </w:p>
    <w:p>
      <w:pPr>
        <w:pStyle w:val="TextBody"/>
        <w:bidi w:val="0"/>
        <w:spacing w:before="240" w:after="0"/>
        <w:jc w:val="left"/>
        <w:rPr>
          <w:rFonts w:ascii="Times New Roman" w:hAnsi="Times New Roman"/>
          <w:sz w:val="20"/>
        </w:rPr>
      </w:pPr>
      <w:r>
        <w:rPr>
          <w:rFonts w:ascii="Times New Roman" w:hAnsi="Times New Roman"/>
          <w:sz w:val="20"/>
        </w:rPr>
        <w:t xml:space="preserve">The notes affected by the misstatement include 4. </w:t>
      </w:r>
      <w:r>
        <w:rPr>
          <w:rFonts w:ascii="Times New Roman" w:hAnsi="Times New Roman"/>
          <w:i/>
          <w:sz w:val="20"/>
        </w:rPr>
        <w:t>Fair Value</w:t>
      </w:r>
      <w:r>
        <w:rPr>
          <w:rFonts w:ascii="Times New Roman" w:hAnsi="Times New Roman"/>
          <w:sz w:val="20"/>
        </w:rPr>
        <w:t xml:space="preserve">, 7. </w:t>
      </w:r>
      <w:r>
        <w:rPr>
          <w:rFonts w:ascii="Times New Roman" w:hAnsi="Times New Roman"/>
          <w:i/>
          <w:sz w:val="20"/>
        </w:rPr>
        <w:t>Convertible Promissory Notes and Convertible Promissory Note Warrant</w:t>
      </w:r>
      <w:r>
        <w:rPr>
          <w:rFonts w:ascii="Times New Roman" w:hAnsi="Times New Roman"/>
          <w:sz w:val="20"/>
        </w:rPr>
        <w:t>s, 8. </w:t>
      </w:r>
      <w:r>
        <w:rPr>
          <w:rFonts w:ascii="Times New Roman" w:hAnsi="Times New Roman"/>
          <w:i/>
          <w:sz w:val="20"/>
        </w:rPr>
        <w:t>Convertible Preferred Stock, Common Stock and Stockholders Equity</w:t>
      </w:r>
      <w:r>
        <w:rPr>
          <w:rFonts w:ascii="Times New Roman" w:hAnsi="Times New Roman"/>
          <w:sz w:val="20"/>
        </w:rPr>
        <w:t xml:space="preserve">, 11. </w:t>
      </w:r>
      <w:r>
        <w:rPr>
          <w:rFonts w:ascii="Times New Roman" w:hAnsi="Times New Roman"/>
          <w:i/>
          <w:sz w:val="20"/>
        </w:rPr>
        <w:t xml:space="preserve">Net Loss Per Share Attributable to Common Stockholders </w:t>
      </w:r>
      <w:r>
        <w:rPr>
          <w:rFonts w:ascii="Times New Roman" w:hAnsi="Times New Roman"/>
          <w:sz w:val="20"/>
        </w:rPr>
        <w:t xml:space="preserve">13. </w:t>
      </w:r>
      <w:r>
        <w:rPr>
          <w:rFonts w:ascii="Times New Roman" w:hAnsi="Times New Roman"/>
          <w:i/>
          <w:sz w:val="20"/>
        </w:rPr>
        <w:t>Income Taxes</w:t>
      </w:r>
      <w:r>
        <w:rPr>
          <w:rFonts w:ascii="Times New Roman" w:hAnsi="Times New Roman"/>
          <w:sz w:val="20"/>
        </w:rPr>
        <w:t xml:space="preserve"> which have been updated and restated, as applicable, to reflect the impacts of the restatement described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 Basis of Presentation and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and 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financial statements are prepared in accordance with accounting principles generally accepted in the United States (GAAP). The preparation of the financial statements requires management to make estimates and assumptions that impact the reported amounts of assets, liabilities and expenses and disclosure in the Companys financial statements and accompanying notes. The most significant estimates in the Companys financial statements relate to accrued expenses and the valuation of warrants, equity and debt instruments. Although these estimates are based on the Companys knowledge of current events and actions it may undertake in the future, actual results may materially differ from these estimates and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Recast Financial Statement </w:t>
      </w:r>
    </w:p>
    <w:p>
      <w:pPr>
        <w:pStyle w:val="TextBody"/>
        <w:bidi w:val="0"/>
        <w:spacing w:before="120" w:after="0"/>
        <w:jc w:val="left"/>
        <w:rPr>
          <w:rFonts w:ascii="Times New Roman" w:hAnsi="Times New Roman"/>
          <w:sz w:val="20"/>
        </w:rPr>
      </w:pPr>
      <w:r>
        <w:rPr>
          <w:rFonts w:ascii="Times New Roman" w:hAnsi="Times New Roman"/>
          <w:sz w:val="20"/>
        </w:rPr>
        <w:t xml:space="preserve">Since CalciMedica was determined to be the accounting acquirer in connection with the Merger, for periods prior to the Merger, the consolidated financial statements were prepared on a stand-alone basis for CalciMedica and did not include the combined entities activities or financial position. The financial statements and accompanying notes have been recast to reflect the equivalent number of shares, and amount per share where applicable, had the Merger occurred on January 1, 2021, which is a result of applying the exchange ratio of 0.0288 share of Graybug for each share of Calcimedica common stock. The number of shares and amounts per share of preferred stock were not impacted; however, the exchange ratio into common stock affects the number of shares into which the preferred shares were converted into. </w:t>
      </w:r>
    </w:p>
    <w:p>
      <w:pPr>
        <w:pStyle w:val="TextBody"/>
        <w:bidi w:val="0"/>
        <w:spacing w:before="240" w:after="0"/>
        <w:jc w:val="left"/>
        <w:rPr>
          <w:rFonts w:ascii="Times New Roman" w:hAnsi="Times New Roman"/>
          <w:sz w:val="20"/>
        </w:rPr>
      </w:pPr>
      <w:r>
        <w:rPr>
          <w:rFonts w:ascii="Times New Roman" w:hAnsi="Times New Roman"/>
          <w:sz w:val="20"/>
        </w:rPr>
        <w:t xml:space="preserve">The Notes impacted by the recasted financial statements are Note 2. </w:t>
      </w:r>
      <w:r>
        <w:rPr>
          <w:rFonts w:ascii="Times New Roman" w:hAnsi="Times New Roman"/>
          <w:i/>
          <w:sz w:val="20"/>
        </w:rPr>
        <w:t xml:space="preserve">Restatement of Financial Statements, </w:t>
      </w:r>
      <w:r>
        <w:rPr>
          <w:rFonts w:ascii="Times New Roman" w:hAnsi="Times New Roman"/>
          <w:sz w:val="20"/>
        </w:rPr>
        <w:t xml:space="preserve">Note 8. </w:t>
      </w:r>
      <w:r>
        <w:rPr>
          <w:rFonts w:ascii="Times New Roman" w:hAnsi="Times New Roman"/>
          <w:i/>
          <w:sz w:val="20"/>
        </w:rPr>
        <w:t xml:space="preserve">Convertible Preferred Stock, Common Stock and Stockholders Equity, </w:t>
      </w:r>
      <w:r>
        <w:rPr>
          <w:rFonts w:ascii="Times New Roman" w:hAnsi="Times New Roman"/>
          <w:sz w:val="20"/>
        </w:rPr>
        <w:t xml:space="preserve">Note 9. </w:t>
      </w:r>
      <w:r>
        <w:rPr>
          <w:rFonts w:ascii="Times New Roman" w:hAnsi="Times New Roman"/>
          <w:i/>
          <w:sz w:val="20"/>
        </w:rPr>
        <w:t xml:space="preserve">Stock Compensation Plan, </w:t>
      </w:r>
      <w:r>
        <w:rPr>
          <w:rFonts w:ascii="Times New Roman" w:hAnsi="Times New Roman"/>
          <w:sz w:val="20"/>
        </w:rPr>
        <w:t xml:space="preserve">Note. 11 </w:t>
      </w:r>
      <w:r>
        <w:rPr>
          <w:rFonts w:ascii="Times New Roman" w:hAnsi="Times New Roman"/>
          <w:i/>
          <w:sz w:val="20"/>
        </w:rPr>
        <w:t xml:space="preserve">Net Loss Per Share Attributable to Common Stockholders </w:t>
      </w:r>
      <w:r>
        <w:rPr>
          <w:rFonts w:ascii="Times New Roman" w:hAnsi="Times New Roman"/>
          <w:sz w:val="20"/>
        </w:rPr>
        <w:t xml:space="preserve">and Note 14. </w:t>
      </w:r>
      <w:r>
        <w:rPr>
          <w:rFonts w:ascii="Times New Roman" w:hAnsi="Times New Roman"/>
          <w:i/>
          <w:sz w:val="20"/>
        </w:rPr>
        <w:t>Subsequent Events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and other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which potentially subject the Company to concentration of risk, consist principally of cash and cash equivalents. The Companys cash is deposited in an account with a major financial institution below the federally insured limit. The Company is exposed to credit risk in the event of default by the financial institutions holding its cash and cash equivalents. The Companys cash was held by Silicon Valley Bank (SVB) but has subsequently transferred its cash to another depository institution. The Company has no off-balance sheet concentrations of credit risk, such as foreign currency exchange contracts, option contracts or other hedging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dependent on contract manufacturing organizations (CMO) to supply products for research and development of its product candidates, including preclinical and clinical studies, and for commercialization of its product candidates, if approved. The Companys development programs could be adversely affected by any significant interruption in CMOs operations or by a significant interruption in the supply of active pharmaceutical ingredients and other components. </w:t>
      </w:r>
    </w:p>
    <w:p>
      <w:pPr>
        <w:pStyle w:val="TextBody"/>
        <w:bidi w:val="0"/>
        <w:spacing w:before="240" w:after="0"/>
        <w:jc w:val="left"/>
        <w:rPr>
          <w:rFonts w:ascii="Times New Roman" w:hAnsi="Times New Roman"/>
          <w:sz w:val="20"/>
        </w:rPr>
      </w:pPr>
      <w:r>
        <w:rPr>
          <w:rFonts w:ascii="Times New Roman" w:hAnsi="Times New Roman"/>
          <w:sz w:val="20"/>
        </w:rPr>
        <w:t xml:space="preserve">Products developed by the Company require approval from the U.S. Food and Drug Administration (FDA) or other international regulatory agencies prior to commercial sales. There can be no assurance the Companys product candidates will receive the necessary approvals. If the Company is denied approvals, approvals are delayed, or it was unable to maintain approvals received, such events could have a materially adverse impact on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are held in two accounts at one bank. The Company considers all highly liquid investments with an original maturity of three months or less from the date of purchase to be cash equivalents.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manages its operations as a single segment for the purposes of assessing performance and making operating decisions. The financial information is regularly reviewed by the chief operating decision maker (CODM), in deciding how to allocate resources. The Companys CODM is its chief executive officer. The Companys singular focus is on developing highly selective calcium release-activated calcium (CRAC) channel inhibitors to improve outcomes for patients with acute inflammatory indications. No significant revenue has been generated since inception, and all tangible assets are held in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Option </w:t>
      </w:r>
    </w:p>
    <w:p>
      <w:pPr>
        <w:pStyle w:val="TextBody"/>
        <w:bidi w:val="0"/>
        <w:spacing w:before="120" w:after="0"/>
        <w:jc w:val="left"/>
        <w:rPr>
          <w:rFonts w:ascii="Times New Roman" w:hAnsi="Times New Roman"/>
          <w:sz w:val="20"/>
        </w:rPr>
      </w:pPr>
      <w:r>
        <w:rPr>
          <w:rFonts w:ascii="Times New Roman" w:hAnsi="Times New Roman"/>
          <w:sz w:val="20"/>
        </w:rPr>
        <w:t xml:space="preserve">As permitted under Accounting Standards Codification (ASC) 825, </w:t>
      </w:r>
      <w:r>
        <w:rPr>
          <w:rFonts w:ascii="Times New Roman" w:hAnsi="Times New Roman"/>
          <w:i/>
          <w:sz w:val="20"/>
        </w:rPr>
        <w:t>Financial Instruments</w:t>
      </w:r>
      <w:r>
        <w:rPr>
          <w:rFonts w:ascii="Times New Roman" w:hAnsi="Times New Roman"/>
          <w:sz w:val="20"/>
        </w:rPr>
        <w:t xml:space="preserve">, the Company has elected the fair value option to account for its convertible promissory notes due to certain embedded features within the notes. The Company recognizes the convertible promissory notes at fair value with changes in fair value recognized in the statement of operations located on the change in fair value of convertible promissory notes line item. Changes in fair value as a result of the Companys own credit risk is reflected in comprehensive loss on the Statements of Operations. There were no material change in the Companys own credit risk for the years ended December 31, 2022 and 2021. As a result of applying the fair value option, direct costs and fees related to the convertible promissory notes were expensed as incurred and not deferred.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recorded at cost and depreciated using the straight-line method over the estimated useful lives of the assets (generally three to five years) and consist of manufacturing and lab equipment, furniture, computers and phones. Repairs and maintenance costs are charged to expense as incurred.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leases office space and manufacturing equipment, with original lease terms of 12 to 30 months. The office lease term has a six month term and does not have a right-of-use asset or lease liability recorded. The Company entered into a lease in November 2020 for manufacturing equipment utilized in the production of development candidates. The lease is accounted for under ASC 842, </w:t>
      </w:r>
      <w:r>
        <w:rPr>
          <w:rFonts w:ascii="Times New Roman" w:hAnsi="Times New Roman"/>
          <w:i/>
          <w:sz w:val="20"/>
        </w:rPr>
        <w:t>Leases</w:t>
      </w:r>
      <w:r>
        <w:rPr>
          <w:rFonts w:ascii="Times New Roman" w:hAnsi="Times New Roman"/>
          <w:sz w:val="20"/>
        </w:rPr>
        <w:t xml:space="preserve">, and has been classified as an operating lease. The Company records rent expense on a straight-line basis over the term of the lease.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consist primarily of property and equipment. The Company reviews long-lived assets for impairment whenever events or changes in circumstances indicate the carrying amount of an asset is not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as the amount by which the carrying amount of the asset exceeds the fair value of the assets. Fair value would be assessed using discounted cash flows or other appropriate measures of fair value. The Company did not recognize any impairment losses for the years ended December 31, 2022 and 2021.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consist primarily of salaries, payroll taxes, employee benefits, and stock-based compensation for those individuals involved in ongoing research and development efforts, as well as fees paid to consultants, external research fees, license fees paid to third parties for use of their intellectual property, laboratory supplies, and development of compound materials, associated overhead expenses, and facilities and depreciation costs. Nonrefundable advance payments for goods and services that will be used in future research and development activities are expensed when the activity has been performed or when the goods have been received rather than when the payment is made. All research and development costs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If the actual timing of the performance of services or the level of effort varies from the estimate, the Company will adjust the accrual accordingly. The estimates are trued up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Costs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salaries and related benefits, including stock-based compensation, related to our executive, finance, business development, legal, human resources and support functions, including professional fees for auditing, tax, consulting and patent-related services, rent and utilities and insurance.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Costs </w:t>
      </w:r>
    </w:p>
    <w:p>
      <w:pPr>
        <w:pStyle w:val="TextBody"/>
        <w:bidi w:val="0"/>
        <w:spacing w:before="120" w:after="0"/>
        <w:jc w:val="left"/>
        <w:rPr>
          <w:rFonts w:ascii="Times New Roman" w:hAnsi="Times New Roman"/>
          <w:sz w:val="20"/>
        </w:rPr>
      </w:pPr>
      <w:r>
        <w:rPr>
          <w:rFonts w:ascii="Times New Roman" w:hAnsi="Times New Roman"/>
          <w:sz w:val="20"/>
        </w:rPr>
        <w:t xml:space="preserve">Costs related to filing and pursuing patent applications are expensed as incurred since recoverability of such expenditures is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costs that are directly associated with equity financings until such financings are consummated at which time such costs are recorded against the gross proceeds of the offering. Should an in-process equity financing be abandoned, the deferred offering costs will be expensed immediately as a charge to operating expenses in the statements of operations and comprehensive loss. The Company had deferred offering costs capitalized as of December 31, 2022 for the Merger of $1.4 million and $1.1 million for a proposed initial public offering (IPO) as of December 31, 2021. In September 2022, the Company terminated its plan for an IPO and expensed $1.5 million to general and administrative expense.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represents the cost of the grant date fair value of employee stock options recognized over the requisite service period of the awards (usually the vesting period) on a straight-line basis. As there is no active market for its common stock, the Company estimates the fair value of common stock on the date of grant based on then current facts and circumstances. The Company estimates the fair value of stock option grants using the Black-Scholes option pricing model (Black Scholes). Forfeitures are recognized as a reduction of stock-based compensation expense as they occur. Equity-based compensation expense is classified in the statements of operations in the same manner in which the award recipients payroll costs are classified or in which the award recipients service payments are classified. The fair value of each stock option grant is estimated on the date of grant using Black Scholes. The following summarizes the inputs used: </w:t>
      </w:r>
    </w:p>
    <w:p>
      <w:pPr>
        <w:pStyle w:val="TextBody"/>
        <w:bidi w:val="0"/>
        <w:spacing w:before="360" w:after="0"/>
        <w:jc w:val="left"/>
        <w:rPr>
          <w:rFonts w:ascii="Times New Roman" w:hAnsi="Times New Roman"/>
          <w:i/>
          <w:sz w:val="20"/>
        </w:rPr>
      </w:pPr>
      <w:r>
        <w:rPr>
          <w:rFonts w:ascii="Times New Roman" w:hAnsi="Times New Roman"/>
          <w:i/>
          <w:sz w:val="20"/>
        </w:rPr>
        <w:t xml:space="preserve">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There has been no public market of the Companys common stock. The fair value of the shares of common stock underlying the Companys share-based awards was estimated on each grant date by the Companys board of directors. To determine the fair value of the Companys common stock underlying option grants, the board of directors considered, among other things, input from management and valuations of the Companys common stock prepared by third-party valuation firms. In connection with the preparation of the financial statements for the years ended December 31, 2022 and 2021, the Company performed a retrospective review of the fair value of its common stock related to the current events available. Based on this review, the Company recorded stock compensation as reflected in the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Risk-free interest rate </w:t>
      </w:r>
    </w:p>
    <w:p>
      <w:pPr>
        <w:pStyle w:val="TextBody"/>
        <w:bidi w:val="0"/>
        <w:spacing w:before="120" w:after="0"/>
        <w:jc w:val="left"/>
        <w:rPr>
          <w:rFonts w:ascii="Times New Roman" w:hAnsi="Times New Roman"/>
          <w:sz w:val="20"/>
        </w:rPr>
      </w:pPr>
      <w:r>
        <w:rPr>
          <w:rFonts w:ascii="Times New Roman" w:hAnsi="Times New Roman"/>
          <w:sz w:val="20"/>
        </w:rPr>
        <w:t xml:space="preserve">The risk-free interest rate is based on the U.S. Treasury yield in effect at the time of grant for zero coupon U.S. Treasury notes with maturities similar to the expected term of the awards. </w:t>
      </w:r>
    </w:p>
    <w:p>
      <w:pPr>
        <w:pStyle w:val="TextBody"/>
        <w:bidi w:val="0"/>
        <w:spacing w:before="360" w:after="0"/>
        <w:jc w:val="left"/>
        <w:rPr>
          <w:rFonts w:ascii="Times New Roman" w:hAnsi="Times New Roman"/>
          <w:i/>
          <w:sz w:val="20"/>
        </w:rPr>
      </w:pPr>
      <w:r>
        <w:rPr>
          <w:rFonts w:ascii="Times New Roman" w:hAnsi="Times New Roman"/>
          <w:i/>
          <w:sz w:val="20"/>
        </w:rPr>
        <w:t xml:space="preserve">Expected volatility </w:t>
      </w:r>
    </w:p>
    <w:p>
      <w:pPr>
        <w:pStyle w:val="TextBody"/>
        <w:bidi w:val="0"/>
        <w:spacing w:before="120" w:after="0"/>
        <w:jc w:val="left"/>
        <w:rPr>
          <w:rFonts w:ascii="Times New Roman" w:hAnsi="Times New Roman"/>
          <w:sz w:val="20"/>
        </w:rPr>
      </w:pPr>
      <w:r>
        <w:rPr>
          <w:rFonts w:ascii="Times New Roman" w:hAnsi="Times New Roman"/>
          <w:sz w:val="20"/>
        </w:rPr>
        <w:t xml:space="preserve">Since the Company does not have publicly traded equity securities, the volatility of the options has been estimated using peer group volatility information. </w:t>
      </w:r>
    </w:p>
    <w:p>
      <w:pPr>
        <w:pStyle w:val="TextBody"/>
        <w:bidi w:val="0"/>
        <w:spacing w:before="360" w:after="0"/>
        <w:jc w:val="left"/>
        <w:rPr>
          <w:rFonts w:ascii="Times New Roman" w:hAnsi="Times New Roman"/>
          <w:i/>
          <w:sz w:val="20"/>
        </w:rPr>
      </w:pPr>
      <w:r>
        <w:rPr>
          <w:rFonts w:ascii="Times New Roman" w:hAnsi="Times New Roman"/>
          <w:i/>
          <w:sz w:val="20"/>
        </w:rPr>
        <w:t xml:space="preserve">Expected term </w:t>
      </w:r>
    </w:p>
    <w:p>
      <w:pPr>
        <w:pStyle w:val="TextBody"/>
        <w:bidi w:val="0"/>
        <w:spacing w:before="120" w:after="0"/>
        <w:jc w:val="left"/>
        <w:rPr>
          <w:rFonts w:ascii="Times New Roman" w:hAnsi="Times New Roman"/>
          <w:sz w:val="20"/>
        </w:rPr>
      </w:pPr>
      <w:r>
        <w:rPr>
          <w:rFonts w:ascii="Times New Roman" w:hAnsi="Times New Roman"/>
          <w:sz w:val="20"/>
        </w:rPr>
        <w:t xml:space="preserve">The Company uses the simplified method to calculate the expected term for all grants during all periods, which is based on the midpoint between the vesting date and the end of the contractual term. The Company does not have sufficient data to calculate historical term in another manner. </w:t>
      </w:r>
    </w:p>
    <w:p>
      <w:pPr>
        <w:pStyle w:val="TextBody"/>
        <w:bidi w:val="0"/>
        <w:spacing w:before="360" w:after="0"/>
        <w:jc w:val="left"/>
        <w:rPr>
          <w:rFonts w:ascii="Times New Roman" w:hAnsi="Times New Roman"/>
          <w:i/>
          <w:sz w:val="20"/>
        </w:rPr>
      </w:pPr>
      <w:r>
        <w:rPr>
          <w:rFonts w:ascii="Times New Roman" w:hAnsi="Times New Roman"/>
          <w:i/>
          <w:sz w:val="20"/>
        </w:rPr>
        <w:t xml:space="preserve">Expected dividend yield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never paid cash dividends and has no present intention to pay cash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loss is defined as a change in equity during a period from transactions and other events and circumstances from non-owner sources. The Companys comprehensive loss was the same as its reported net loss for all periods presented.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board of directors reviews and approves transactions with directors, officers and holders of 5% or more of its voting securities and their affiliates, each a related party. The material facts as to the related partys relationship or interest in the transaction are disclosed to its board of directors prior to their consideration of such transaction, and the transaction is not considered approved by its board of directors unless a majority of the directors who are not interested in the transaction approve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Beginning in November 2020 the Company has paid consulting fees monthly to a consulting firm affiliated with the Companys interim chief financial officer in connection with its consulting agreement. The Company recorded expense of $223,000 and $203,000 during the years ended December 31, 2022 and 2021,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Liability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freestanding warrants to purchase shares of its convertible preferred stock (Convertible Preferred). The fair value of these warrants is classified as a long-term liability in the accompanying balance sheets since the underlying Convertible Preferred has been classified as temporary equity instead of in stockholders deficit in accordance with accounting guidance for the classification and measurement of potentially redeemable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assesses its warrants for common stock to determine equity or liability treatment. In accordance with ASC 480, </w:t>
      </w:r>
      <w:r>
        <w:rPr>
          <w:rFonts w:ascii="Times New Roman" w:hAnsi="Times New Roman"/>
          <w:i/>
          <w:sz w:val="20"/>
        </w:rPr>
        <w:t>Distinguishing Liabilities from Equity</w:t>
      </w:r>
      <w:r>
        <w:rPr>
          <w:rFonts w:ascii="Times New Roman" w:hAnsi="Times New Roman"/>
          <w:sz w:val="20"/>
        </w:rPr>
        <w:t xml:space="preserve">, instruments that embody a conditional obligation to issue a variable number of the issuers equity shares and at inception, the monetary value of the obligation is based solely or predominantly on a fixed value known at inception, requires liability classification. The Company determined its Convertible Promissory Note Warrants are liability classified instruments because the terms of the instrument embody an obligation to issue a variable number of shares for a value that is predominately fixed.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Attributable to Common Stockholders </w:t>
      </w:r>
    </w:p>
    <w:p>
      <w:pPr>
        <w:pStyle w:val="TextBody"/>
        <w:bidi w:val="0"/>
        <w:spacing w:before="120" w:after="0"/>
        <w:jc w:val="left"/>
        <w:rPr>
          <w:rFonts w:ascii="Times New Roman" w:hAnsi="Times New Roman"/>
          <w:sz w:val="20"/>
        </w:rPr>
      </w:pPr>
      <w:r>
        <w:rPr>
          <w:rFonts w:ascii="Times New Roman" w:hAnsi="Times New Roman"/>
          <w:sz w:val="20"/>
        </w:rPr>
        <w:t xml:space="preserve">Net loss is equivalent to net loss attributable to common stockholders for all periods presented. Basic net loss per share attributable to common stockholders is computed using the weighted average number of shares of common stock outstanding during the period. The Company calculates diluted net loss per share attributable to common stockholders using the more dilutive of the (1) treasury stock method, if-converted method, or contingently issuable share method, as applicable, or (2) the two-class method. For warrants, the calculation of diluted net loss per share attributable to common stockholders requires that, to the extent the average fair value of the underlying shares for the reporting period exceeds the exercise price of the warrants and the presumed exercise of such securities are dilutive to net loss per share attributable to common stockholders for the period, adjustments to net loss used in the calculation are required to remove the change in fair value of the warrants for the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the Financial Accounting Standards Board (FASB) issued Accounting Standards Update (ASU) 2020-06, Debt  Debt with Conversion and Other Options (Subtopic 470-20) and Derivatives and Hedging  Contracts in Entitys Own Equity (Subtopic 815-40): Accounting for Convertible Instruments and Contracts in an Entitys Own Equity. The new guidance, among other things, simplifies the accounting for certain financial instruments with characteristics of liabilities and equity, including convertible instruments, and amends existing earnings-per-share (EPS) guidance by requiring that an entity use the if-converted method when calculating diluted EPS for convertible instruments. The Company has adopted the new guidance effective January 1, 2022 and the adoption did not have an impact on its financial position, results of operations or related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4. Fair Value </w:t>
      </w:r>
    </w:p>
    <w:p>
      <w:pPr>
        <w:pStyle w:val="TextBody"/>
        <w:bidi w:val="0"/>
        <w:spacing w:before="120" w:after="0"/>
        <w:jc w:val="left"/>
        <w:rPr>
          <w:rFonts w:ascii="Times New Roman" w:hAnsi="Times New Roman"/>
          <w:sz w:val="20"/>
        </w:rPr>
      </w:pPr>
      <w:r>
        <w:rPr>
          <w:rFonts w:ascii="Times New Roman" w:hAnsi="Times New Roman"/>
          <w:sz w:val="20"/>
        </w:rPr>
        <w:t xml:space="preserve">The Companys liabilities which are measured at fair value include warrants for preferred stock (Preferred Warrants), convertible promissory notes, and warrants for common stock related to the convertible promissory notes (Convertible Promissory Note Warrants). All liabilities recorded at fair value are revalued at each measurement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 elected the fair value option for the convertible promissory notes and estimated the fair value based on a discounted cash flow analysis, a form of the Income Approach. Several different settlement scenarios were considered, and probability weighted to arrive at the initial and year end valuations. Increases or decreases in the fair value of the convertible promissory notes can result from updates to assumptions such as the expected timing or probability of the different settlement scenarios, or changes in discount rates. Judgment is used in determining these assumptions as of the initial valuation date and at each subsequent reporting period. Updates to assumptions could have a significant impact on our results of operations in any given period.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Preferred Warrants are valued using the Hybrid Method (Hybrid Method). This method incorporates the Companys near-term liquidity event prospects utilized in conjunction with the Option Pricing Method (OPM) framework, representing an alternative exit, to calculate an implied overall value of the Company. This value is, in turn, allocated to the Companys various equity classes.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Promissory Note Warrants are valued using a series of Monte Carlo simulations and Black-Scholes to determine the fair value, probability weighted for difference scenarios. The Monte Carlo simulations determined the liquidity event price. Black-Scholes is used with the remaining contractual term of the warrants after the respective event date. The warrant value is discounted from the respective event date using the risk- free rate. See further discussion in Note 7.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present information about the Companys financial assets and liabilities measured at fair value on a recurring basis and indicate the level of the fair value hierarchy utilized to determine such fair values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15"/>
        <w:gridCol w:w="303"/>
        <w:gridCol w:w="283"/>
        <w:gridCol w:w="1138"/>
        <w:gridCol w:w="60"/>
        <w:gridCol w:w="303"/>
        <w:gridCol w:w="618"/>
        <w:gridCol w:w="619"/>
        <w:gridCol w:w="60"/>
        <w:gridCol w:w="303"/>
        <w:gridCol w:w="589"/>
        <w:gridCol w:w="590"/>
        <w:gridCol w:w="60"/>
        <w:gridCol w:w="302"/>
        <w:gridCol w:w="310"/>
        <w:gridCol w:w="1268"/>
        <w:gridCol w:w="67"/>
      </w:tblGrid>
      <w:tr>
        <w:trPr/>
        <w:tc>
          <w:tcPr>
            <w:tcW w:w="2515"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51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2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4719" w:type="dxa"/>
            <w:gridSpan w:val="10"/>
            <w:tcBorders>
              <w:bottom w:val="single" w:sz="8" w:space="0" w:color="000000"/>
            </w:tcBorders>
            <w:tcMar>
              <w:bottom w:w="28" w:type="dxa"/>
            </w:tcMar>
            <w:vAlign w:val="bottom"/>
          </w:tcPr>
          <w:p>
            <w:pPr>
              <w:pStyle w:val="TableContents"/>
              <w:bidi w:val="0"/>
              <w:spacing w:before="0" w:after="283"/>
              <w:jc w:val="center"/>
              <w:rPr/>
            </w:pPr>
            <w:r>
              <w:rPr>
                <w:b/>
              </w:rPr>
              <w:t>Fair Value Measurements at</w:t>
            </w:r>
            <w:r>
              <w:rPr/>
              <w:br/>
            </w:r>
            <w:r>
              <w:rPr>
                <w:b/>
              </w:rPr>
              <w:t>Reporting Date Using</w:t>
            </w:r>
          </w:p>
        </w:tc>
        <w:tc>
          <w:tcPr>
            <w:tcW w:w="67" w:type="dxa"/>
            <w:tcBorders/>
            <w:vAlign w:val="bottom"/>
          </w:tcPr>
          <w:p>
            <w:pPr>
              <w:pStyle w:val="TableContents"/>
              <w:bidi w:val="0"/>
              <w:spacing w:before="0" w:after="283"/>
              <w:jc w:val="left"/>
              <w:rPr/>
            </w:pPr>
            <w:r>
              <w:rPr/>
              <w:t> </w:t>
            </w:r>
          </w:p>
        </w:tc>
      </w:tr>
      <w:tr>
        <w:trPr/>
        <w:tc>
          <w:tcPr>
            <w:tcW w:w="251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pPr>
            <w:r>
              <w:rPr>
                <w:b/>
              </w:rPr>
              <w:t>Balance at</w:t>
            </w:r>
            <w:r>
              <w:rPr/>
              <w:br/>
            </w:r>
            <w:r>
              <w:rPr>
                <w:b/>
              </w:rPr>
              <w:t>December 31,</w:t>
            </w:r>
            <w:r>
              <w:rPr/>
              <w:br/>
            </w:r>
            <w:r>
              <w:rPr>
                <w:b/>
              </w:rPr>
              <w:t>2022</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pPr>
            <w:r>
              <w:rPr>
                <w:b/>
              </w:rPr>
              <w:t>Quoted</w:t>
            </w:r>
            <w:r>
              <w:rPr/>
              <w:br/>
            </w:r>
            <w:r>
              <w:rPr>
                <w:b/>
              </w:rPr>
              <w:t>Prices in</w:t>
            </w:r>
            <w:r>
              <w:rPr/>
              <w:br/>
            </w:r>
            <w:r>
              <w:rPr>
                <w:b/>
              </w:rPr>
              <w:t>Active</w:t>
            </w:r>
            <w:r>
              <w:rPr/>
              <w:br/>
            </w:r>
            <w:r>
              <w:rPr>
                <w:b/>
              </w:rPr>
              <w:t>Markets for</w:t>
            </w:r>
            <w:r>
              <w:rPr/>
              <w:br/>
            </w:r>
            <w:r>
              <w:rPr>
                <w:b/>
              </w:rPr>
              <w:t>Identical</w:t>
            </w:r>
            <w:r>
              <w:rPr/>
              <w:br/>
            </w:r>
            <w:r>
              <w:rPr>
                <w:b/>
              </w:rPr>
              <w:t>Assets</w:t>
            </w:r>
            <w:r>
              <w:rPr/>
              <w:br/>
            </w:r>
            <w:r>
              <w:rPr>
                <w:b/>
              </w:rPr>
              <w:t>(Level 1)</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w:t>
            </w:r>
            <w:r>
              <w:rPr/>
              <w:br/>
            </w:r>
            <w:r>
              <w:rPr>
                <w:b/>
              </w:rPr>
              <w:t>Other</w:t>
            </w:r>
            <w:r>
              <w:rPr/>
              <w:br/>
            </w:r>
            <w:r>
              <w:rPr>
                <w:b/>
              </w:rPr>
              <w:t>Observable</w:t>
            </w:r>
            <w:r>
              <w:rPr/>
              <w:br/>
            </w:r>
            <w:r>
              <w:rPr>
                <w:b/>
              </w:rPr>
              <w:t>Inputs</w:t>
            </w:r>
            <w:r>
              <w:rPr/>
              <w:br/>
            </w:r>
            <w:r>
              <w:rPr>
                <w:b/>
              </w:rPr>
              <w:t>(Level 2)</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578"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w:t>
            </w:r>
            <w:r>
              <w:rPr/>
              <w:br/>
            </w:r>
            <w:r>
              <w:rPr>
                <w:b/>
              </w:rPr>
              <w:t>Unobservable</w:t>
            </w:r>
            <w:r>
              <w:rPr/>
              <w:br/>
            </w:r>
            <w:r>
              <w:rPr>
                <w:b/>
              </w:rPr>
              <w:t>Inputs (Level 3)</w:t>
            </w:r>
          </w:p>
        </w:tc>
        <w:tc>
          <w:tcPr>
            <w:tcW w:w="67" w:type="dxa"/>
            <w:tcBorders/>
            <w:vAlign w:val="bottom"/>
          </w:tcPr>
          <w:p>
            <w:pPr>
              <w:pStyle w:val="TableContents"/>
              <w:bidi w:val="0"/>
              <w:spacing w:before="0" w:after="283"/>
              <w:jc w:val="left"/>
              <w:rPr/>
            </w:pPr>
            <w:r>
              <w:rPr/>
              <w:t> </w:t>
            </w:r>
          </w:p>
        </w:tc>
      </w:tr>
      <w:tr>
        <w:trPr/>
        <w:tc>
          <w:tcPr>
            <w:tcW w:w="251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21"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w:t>
            </w:r>
          </w:p>
          <w:p>
            <w:pPr>
              <w:pStyle w:val="TableContents"/>
              <w:bidi w:val="0"/>
              <w:spacing w:before="0" w:after="20"/>
              <w:jc w:val="center"/>
              <w:rPr>
                <w:rFonts w:ascii="Times New Roman" w:hAnsi="Times New Roman"/>
                <w:sz w:val="16"/>
              </w:rPr>
            </w:pPr>
            <w:r>
              <w:rPr>
                <w:rFonts w:ascii="Times New Roman" w:hAnsi="Times New Roman"/>
                <w:sz w:val="16"/>
              </w:rPr>
              <w:t>Restated)</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23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7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578"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w:t>
            </w:r>
          </w:p>
          <w:p>
            <w:pPr>
              <w:pStyle w:val="TableContents"/>
              <w:bidi w:val="0"/>
              <w:spacing w:before="0" w:after="20"/>
              <w:jc w:val="center"/>
              <w:rPr>
                <w:rFonts w:ascii="Times New Roman" w:hAnsi="Times New Roman"/>
                <w:sz w:val="16"/>
              </w:rPr>
            </w:pPr>
            <w:r>
              <w:rPr>
                <w:rFonts w:ascii="Times New Roman" w:hAnsi="Times New Roman"/>
                <w:sz w:val="16"/>
              </w:rPr>
              <w:t>Restated)</w:t>
            </w:r>
          </w:p>
        </w:tc>
        <w:tc>
          <w:tcPr>
            <w:tcW w:w="67" w:type="dxa"/>
            <w:tcBorders/>
            <w:vAlign w:val="bottom"/>
          </w:tcPr>
          <w:p>
            <w:pPr>
              <w:pStyle w:val="TableContents"/>
              <w:bidi w:val="0"/>
              <w:spacing w:before="0" w:after="283"/>
              <w:jc w:val="left"/>
              <w:rPr/>
            </w:pPr>
            <w:r>
              <w:rPr/>
              <w:t> </w:t>
            </w:r>
          </w:p>
        </w:tc>
      </w:tr>
      <w:tr>
        <w:trPr/>
        <w:tc>
          <w:tcPr>
            <w:tcW w:w="25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Liability</w:t>
            </w:r>
          </w:p>
        </w:tc>
        <w:tc>
          <w:tcPr>
            <w:tcW w:w="30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6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515"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promissory notes</w:t>
            </w:r>
          </w:p>
        </w:tc>
        <w:tc>
          <w:tcPr>
            <w:tcW w:w="30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5,157</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5,157</w:t>
            </w:r>
          </w:p>
        </w:tc>
        <w:tc>
          <w:tcPr>
            <w:tcW w:w="67" w:type="dxa"/>
            <w:tcBorders/>
            <w:vAlign w:val="bottom"/>
          </w:tcPr>
          <w:p>
            <w:pPr>
              <w:pStyle w:val="TableContents"/>
              <w:bidi w:val="0"/>
              <w:spacing w:before="0" w:after="283"/>
              <w:jc w:val="left"/>
              <w:rPr/>
            </w:pPr>
            <w:r>
              <w:rPr/>
              <w:t> </w:t>
            </w:r>
          </w:p>
        </w:tc>
      </w:tr>
      <w:tr>
        <w:trPr/>
        <w:tc>
          <w:tcPr>
            <w:tcW w:w="2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Warrants liability</w:t>
            </w:r>
          </w:p>
        </w:tc>
        <w:tc>
          <w:tcPr>
            <w:tcW w:w="30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1,453</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1,453</w:t>
            </w:r>
          </w:p>
        </w:tc>
        <w:tc>
          <w:tcPr>
            <w:tcW w:w="67" w:type="dxa"/>
            <w:tcBorders/>
            <w:shd w:fill="CCEEFF" w:val="clear"/>
            <w:vAlign w:val="bottom"/>
          </w:tcPr>
          <w:p>
            <w:pPr>
              <w:pStyle w:val="TableContents"/>
              <w:bidi w:val="0"/>
              <w:spacing w:before="0" w:after="283"/>
              <w:jc w:val="left"/>
              <w:rPr/>
            </w:pPr>
            <w:r>
              <w:rPr/>
              <w:t> </w:t>
            </w:r>
          </w:p>
        </w:tc>
      </w:tr>
      <w:tr>
        <w:trPr/>
        <w:tc>
          <w:tcPr>
            <w:tcW w:w="2515"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Promissory Note Warrants liability</w:t>
            </w:r>
          </w:p>
        </w:tc>
        <w:tc>
          <w:tcPr>
            <w:tcW w:w="30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1,192</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1,192</w:t>
            </w:r>
          </w:p>
        </w:tc>
        <w:tc>
          <w:tcPr>
            <w:tcW w:w="67" w:type="dxa"/>
            <w:tcBorders/>
            <w:vAlign w:val="bottom"/>
          </w:tcPr>
          <w:p>
            <w:pPr>
              <w:pStyle w:val="TableContents"/>
              <w:bidi w:val="0"/>
              <w:spacing w:before="0" w:after="283"/>
              <w:jc w:val="left"/>
              <w:rPr/>
            </w:pPr>
            <w:r>
              <w:rPr/>
              <w:t> </w:t>
            </w:r>
          </w:p>
        </w:tc>
      </w:tr>
      <w:tr>
        <w:trPr/>
        <w:tc>
          <w:tcPr>
            <w:tcW w:w="2515"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 on a recurring basis</w:t>
            </w:r>
          </w:p>
        </w:tc>
        <w:tc>
          <w:tcPr>
            <w:tcW w:w="30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7,802</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w:t>
            </w:r>
          </w:p>
        </w:tc>
        <w:tc>
          <w:tcPr>
            <w:tcW w:w="1268" w:type="dxa"/>
            <w:tcBorders/>
            <w:shd w:fill="CCEEFF" w:val="clear"/>
            <w:vAlign w:val="bottom"/>
          </w:tcPr>
          <w:p>
            <w:pPr>
              <w:pStyle w:val="TableContents"/>
              <w:bidi w:val="0"/>
              <w:spacing w:before="0" w:after="283"/>
              <w:jc w:val="right"/>
              <w:rPr/>
            </w:pPr>
            <w:r>
              <w:rPr/>
              <w:t>7,802</w:t>
            </w:r>
          </w:p>
        </w:tc>
        <w:tc>
          <w:tcPr>
            <w:tcW w:w="67" w:type="dxa"/>
            <w:tcBorders/>
            <w:shd w:fill="CCEEFF" w:val="clear"/>
            <w:vAlign w:val="bottom"/>
          </w:tcPr>
          <w:p>
            <w:pPr>
              <w:pStyle w:val="TableContents"/>
              <w:bidi w:val="0"/>
              <w:spacing w:before="0" w:after="283"/>
              <w:jc w:val="left"/>
              <w:rPr/>
            </w:pPr>
            <w:r>
              <w:rPr/>
              <w:t> </w:t>
            </w:r>
          </w:p>
        </w:tc>
      </w:tr>
      <w:tr>
        <w:trPr/>
        <w:tc>
          <w:tcPr>
            <w:tcW w:w="2515"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rHeight w:val="240" w:hRule="atLeast"/>
        </w:trPr>
        <w:tc>
          <w:tcPr>
            <w:tcW w:w="2515" w:type="dxa"/>
            <w:tcBorders/>
            <w:vAlign w:val="center"/>
          </w:tcPr>
          <w:p>
            <w:pPr>
              <w:pStyle w:val="TableContents"/>
              <w:bidi w:val="0"/>
              <w:spacing w:before="0" w:after="283"/>
              <w:jc w:val="left"/>
              <w:rPr>
                <w:sz w:val="4"/>
                <w:szCs w:val="4"/>
              </w:rPr>
            </w:pPr>
            <w:r>
              <w:rPr>
                <w:sz w:val="4"/>
                <w:szCs w:val="4"/>
              </w:rPr>
            </w:r>
          </w:p>
        </w:tc>
        <w:tc>
          <w:tcPr>
            <w:tcW w:w="1784" w:type="dxa"/>
            <w:gridSpan w:val="4"/>
            <w:tcBorders/>
            <w:vAlign w:val="center"/>
          </w:tcPr>
          <w:p>
            <w:pPr>
              <w:pStyle w:val="TableContents"/>
              <w:bidi w:val="0"/>
              <w:spacing w:before="0" w:after="283"/>
              <w:jc w:val="left"/>
              <w:rPr>
                <w:sz w:val="4"/>
                <w:szCs w:val="4"/>
              </w:rPr>
            </w:pPr>
            <w:r>
              <w:rPr>
                <w:sz w:val="4"/>
                <w:szCs w:val="4"/>
              </w:rPr>
            </w:r>
          </w:p>
        </w:tc>
        <w:tc>
          <w:tcPr>
            <w:tcW w:w="5089" w:type="dxa"/>
            <w:gridSpan w:val="12"/>
            <w:tcBorders/>
            <w:vAlign w:val="center"/>
          </w:tcPr>
          <w:p>
            <w:pPr>
              <w:pStyle w:val="TableContents"/>
              <w:bidi w:val="0"/>
              <w:spacing w:before="0" w:after="283"/>
              <w:jc w:val="left"/>
              <w:rPr>
                <w:sz w:val="4"/>
                <w:szCs w:val="4"/>
              </w:rPr>
            </w:pPr>
            <w:r>
              <w:rPr>
                <w:sz w:val="4"/>
                <w:szCs w:val="4"/>
              </w:rPr>
            </w:r>
          </w:p>
        </w:tc>
      </w:tr>
      <w:tr>
        <w:trPr/>
        <w:tc>
          <w:tcPr>
            <w:tcW w:w="251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2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4719" w:type="dxa"/>
            <w:gridSpan w:val="10"/>
            <w:tcBorders>
              <w:bottom w:val="single" w:sz="8" w:space="0" w:color="000000"/>
            </w:tcBorders>
            <w:tcMar>
              <w:bottom w:w="28" w:type="dxa"/>
            </w:tcMar>
            <w:vAlign w:val="bottom"/>
          </w:tcPr>
          <w:p>
            <w:pPr>
              <w:pStyle w:val="TableContents"/>
              <w:bidi w:val="0"/>
              <w:spacing w:before="0" w:after="283"/>
              <w:jc w:val="center"/>
              <w:rPr/>
            </w:pPr>
            <w:r>
              <w:rPr>
                <w:b/>
              </w:rPr>
              <w:t>Fair Value Measurements at</w:t>
            </w:r>
            <w:r>
              <w:rPr/>
              <w:br/>
            </w:r>
            <w:r>
              <w:rPr>
                <w:b/>
              </w:rPr>
              <w:t>Reporting Date Using</w:t>
            </w:r>
          </w:p>
        </w:tc>
        <w:tc>
          <w:tcPr>
            <w:tcW w:w="67" w:type="dxa"/>
            <w:tcBorders/>
            <w:vAlign w:val="bottom"/>
          </w:tcPr>
          <w:p>
            <w:pPr>
              <w:pStyle w:val="TableContents"/>
              <w:bidi w:val="0"/>
              <w:spacing w:before="0" w:after="283"/>
              <w:jc w:val="left"/>
              <w:rPr/>
            </w:pPr>
            <w:r>
              <w:rPr/>
              <w:t> </w:t>
            </w:r>
          </w:p>
        </w:tc>
      </w:tr>
      <w:tr>
        <w:trPr/>
        <w:tc>
          <w:tcPr>
            <w:tcW w:w="251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pPr>
            <w:r>
              <w:rPr>
                <w:b/>
              </w:rPr>
              <w:t>Balance at</w:t>
            </w:r>
            <w:r>
              <w:rPr/>
              <w:br/>
            </w:r>
            <w:r>
              <w:rPr>
                <w:b/>
              </w:rPr>
              <w:t>December 31,</w:t>
            </w:r>
            <w:r>
              <w:rPr/>
              <w:br/>
            </w:r>
            <w:r>
              <w:rPr>
                <w:b/>
              </w:rPr>
              <w:t>2021</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pPr>
            <w:r>
              <w:rPr>
                <w:b/>
              </w:rPr>
              <w:t>Quoted</w:t>
            </w:r>
            <w:r>
              <w:rPr/>
              <w:br/>
            </w:r>
            <w:r>
              <w:rPr>
                <w:b/>
              </w:rPr>
              <w:t>Prices in</w:t>
            </w:r>
            <w:r>
              <w:rPr/>
              <w:br/>
            </w:r>
            <w:r>
              <w:rPr>
                <w:b/>
              </w:rPr>
              <w:t>Active</w:t>
            </w:r>
            <w:r>
              <w:rPr/>
              <w:br/>
            </w:r>
            <w:r>
              <w:rPr>
                <w:b/>
              </w:rPr>
              <w:t>Markets for</w:t>
            </w:r>
            <w:r>
              <w:rPr/>
              <w:br/>
            </w:r>
            <w:r>
              <w:rPr>
                <w:b/>
              </w:rPr>
              <w:t>Identical</w:t>
            </w:r>
            <w:r>
              <w:rPr/>
              <w:br/>
            </w:r>
            <w:r>
              <w:rPr>
                <w:b/>
              </w:rPr>
              <w:t>Assets</w:t>
              <w:br/>
              <w:t>(Level 1)</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w:t>
            </w:r>
            <w:r>
              <w:rPr/>
              <w:br/>
            </w:r>
            <w:r>
              <w:rPr>
                <w:b/>
              </w:rPr>
              <w:t>Other</w:t>
            </w:r>
            <w:r>
              <w:rPr/>
              <w:br/>
            </w:r>
            <w:r>
              <w:rPr>
                <w:b/>
              </w:rPr>
              <w:t>Observable</w:t>
            </w:r>
            <w:r>
              <w:rPr/>
              <w:br/>
            </w:r>
            <w:r>
              <w:rPr>
                <w:b/>
              </w:rPr>
              <w:t>Inputs</w:t>
            </w:r>
            <w:r>
              <w:rPr/>
              <w:br/>
            </w:r>
            <w:r>
              <w:rPr>
                <w:b/>
              </w:rPr>
              <w:t>(Level 2)</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578"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w:t>
            </w:r>
            <w:r>
              <w:rPr/>
              <w:br/>
            </w:r>
            <w:r>
              <w:rPr>
                <w:b/>
              </w:rPr>
              <w:t>Unobservable</w:t>
            </w:r>
            <w:r>
              <w:rPr/>
              <w:br/>
            </w:r>
            <w:r>
              <w:rPr>
                <w:b/>
              </w:rPr>
              <w:t>Inputs (Level 3)</w:t>
            </w:r>
          </w:p>
        </w:tc>
        <w:tc>
          <w:tcPr>
            <w:tcW w:w="67" w:type="dxa"/>
            <w:tcBorders/>
            <w:vAlign w:val="bottom"/>
          </w:tcPr>
          <w:p>
            <w:pPr>
              <w:pStyle w:val="TableContents"/>
              <w:bidi w:val="0"/>
              <w:spacing w:before="0" w:after="283"/>
              <w:jc w:val="left"/>
              <w:rPr/>
            </w:pPr>
            <w:r>
              <w:rPr/>
              <w:t> </w:t>
            </w:r>
          </w:p>
        </w:tc>
      </w:tr>
      <w:tr>
        <w:trPr/>
        <w:tc>
          <w:tcPr>
            <w:tcW w:w="25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Liability</w:t>
            </w:r>
          </w:p>
        </w:tc>
        <w:tc>
          <w:tcPr>
            <w:tcW w:w="30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6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515" w:type="dxa"/>
            <w:tcBorders/>
          </w:tcPr>
          <w:p>
            <w:pPr>
              <w:pStyle w:val="TableContents"/>
              <w:bidi w:val="0"/>
              <w:spacing w:before="0" w:after="0"/>
              <w:jc w:val="left"/>
              <w:rPr>
                <w:rFonts w:ascii="Times New Roman" w:hAnsi="Times New Roman"/>
                <w:sz w:val="20"/>
              </w:rPr>
            </w:pPr>
            <w:r>
              <w:rPr>
                <w:rFonts w:ascii="Times New Roman" w:hAnsi="Times New Roman"/>
                <w:sz w:val="20"/>
              </w:rPr>
              <w:t>Preferred Warrants liability</w:t>
            </w:r>
          </w:p>
        </w:tc>
        <w:tc>
          <w:tcPr>
            <w:tcW w:w="30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4,423</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4,423</w:t>
            </w:r>
          </w:p>
        </w:tc>
        <w:tc>
          <w:tcPr>
            <w:tcW w:w="6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provides a reconciliation for all liabilities measured at fair value using Level 3 inputs for the year ended December 31, 2022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37"/>
        <w:gridCol w:w="354"/>
        <w:gridCol w:w="140"/>
        <w:gridCol w:w="646"/>
        <w:gridCol w:w="162"/>
      </w:tblGrid>
      <w:tr>
        <w:trPr/>
        <w:tc>
          <w:tcPr>
            <w:tcW w:w="5637"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3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786"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w:t>
            </w:r>
          </w:p>
          <w:p>
            <w:pPr>
              <w:pStyle w:val="TableContents"/>
              <w:bidi w:val="0"/>
              <w:spacing w:before="0" w:after="20"/>
              <w:jc w:val="center"/>
              <w:rPr>
                <w:rFonts w:ascii="Times New Roman" w:hAnsi="Times New Roman"/>
                <w:sz w:val="16"/>
              </w:rPr>
            </w:pPr>
            <w:r>
              <w:rPr>
                <w:rFonts w:ascii="Times New Roman" w:hAnsi="Times New Roman"/>
                <w:sz w:val="16"/>
              </w:rPr>
              <w:t>Restated)</w:t>
            </w:r>
          </w:p>
        </w:tc>
        <w:tc>
          <w:tcPr>
            <w:tcW w:w="162" w:type="dxa"/>
            <w:tcBorders/>
            <w:vAlign w:val="bottom"/>
          </w:tcPr>
          <w:p>
            <w:pPr>
              <w:pStyle w:val="TableContents"/>
              <w:bidi w:val="0"/>
              <w:spacing w:before="0" w:after="283"/>
              <w:jc w:val="left"/>
              <w:rPr/>
            </w:pPr>
            <w:r>
              <w:rPr/>
              <w:t> </w:t>
            </w:r>
          </w:p>
        </w:tc>
      </w:tr>
      <w:tr>
        <w:trPr/>
        <w:tc>
          <w:tcPr>
            <w:tcW w:w="5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Warrants liability</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637"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2021</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6" w:type="dxa"/>
            <w:tcBorders/>
            <w:vAlign w:val="bottom"/>
          </w:tcPr>
          <w:p>
            <w:pPr>
              <w:pStyle w:val="TableContents"/>
              <w:bidi w:val="0"/>
              <w:spacing w:before="0" w:after="283"/>
              <w:jc w:val="right"/>
              <w:rPr/>
            </w:pPr>
            <w:r>
              <w:rPr/>
              <w:t>4,423</w:t>
            </w:r>
          </w:p>
        </w:tc>
        <w:tc>
          <w:tcPr>
            <w:tcW w:w="162" w:type="dxa"/>
            <w:tcBorders/>
            <w:vAlign w:val="bottom"/>
          </w:tcPr>
          <w:p>
            <w:pPr>
              <w:pStyle w:val="TableContents"/>
              <w:bidi w:val="0"/>
              <w:spacing w:before="0" w:after="283"/>
              <w:jc w:val="left"/>
              <w:rPr/>
            </w:pPr>
            <w:r>
              <w:rPr/>
              <w:t> </w:t>
            </w:r>
          </w:p>
        </w:tc>
      </w:tr>
      <w:tr>
        <w:trPr/>
        <w:tc>
          <w:tcPr>
            <w:tcW w:w="5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Warrants</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pPr>
            <w:r>
              <w:rPr/>
              <w:t>(2,970</w:t>
            </w:r>
          </w:p>
        </w:tc>
        <w:tc>
          <w:tcPr>
            <w:tcW w:w="162" w:type="dxa"/>
            <w:tcBorders/>
            <w:shd w:fill="CCEEFF" w:val="clear"/>
            <w:vAlign w:val="bottom"/>
          </w:tcPr>
          <w:p>
            <w:pPr>
              <w:pStyle w:val="TableContents"/>
              <w:bidi w:val="0"/>
              <w:spacing w:before="0" w:after="283"/>
              <w:jc w:val="left"/>
              <w:rPr/>
            </w:pPr>
            <w:r>
              <w:rPr/>
              <w:t>) </w:t>
            </w:r>
          </w:p>
        </w:tc>
      </w:tr>
      <w:tr>
        <w:trPr/>
        <w:tc>
          <w:tcPr>
            <w:tcW w:w="5637"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637"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6" w:type="dxa"/>
            <w:tcBorders/>
            <w:vAlign w:val="bottom"/>
          </w:tcPr>
          <w:p>
            <w:pPr>
              <w:pStyle w:val="TableContents"/>
              <w:bidi w:val="0"/>
              <w:spacing w:before="0" w:after="283"/>
              <w:jc w:val="right"/>
              <w:rPr/>
            </w:pPr>
            <w:r>
              <w:rPr/>
              <w:t>1,453</w:t>
            </w:r>
          </w:p>
        </w:tc>
        <w:tc>
          <w:tcPr>
            <w:tcW w:w="162" w:type="dxa"/>
            <w:tcBorders/>
            <w:vAlign w:val="bottom"/>
          </w:tcPr>
          <w:p>
            <w:pPr>
              <w:pStyle w:val="TableContents"/>
              <w:bidi w:val="0"/>
              <w:spacing w:before="0" w:after="283"/>
              <w:jc w:val="left"/>
              <w:rPr/>
            </w:pPr>
            <w:r>
              <w:rPr/>
              <w:t> </w:t>
            </w:r>
          </w:p>
        </w:tc>
      </w:tr>
      <w:tr>
        <w:trPr/>
        <w:tc>
          <w:tcPr>
            <w:tcW w:w="5637"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rHeight w:val="240" w:hRule="atLeast"/>
        </w:trPr>
        <w:tc>
          <w:tcPr>
            <w:tcW w:w="5637" w:type="dxa"/>
            <w:tcBorders/>
            <w:vAlign w:val="center"/>
          </w:tcPr>
          <w:p>
            <w:pPr>
              <w:pStyle w:val="TableContents"/>
              <w:bidi w:val="0"/>
              <w:spacing w:before="0" w:after="283"/>
              <w:jc w:val="left"/>
              <w:rPr>
                <w:sz w:val="4"/>
                <w:szCs w:val="4"/>
              </w:rPr>
            </w:pPr>
            <w:r>
              <w:rPr>
                <w:sz w:val="4"/>
                <w:szCs w:val="4"/>
              </w:rPr>
            </w:r>
          </w:p>
        </w:tc>
        <w:tc>
          <w:tcPr>
            <w:tcW w:w="1302" w:type="dxa"/>
            <w:gridSpan w:val="4"/>
            <w:tcBorders/>
            <w:vAlign w:val="center"/>
          </w:tcPr>
          <w:p>
            <w:pPr>
              <w:pStyle w:val="TableContents"/>
              <w:bidi w:val="0"/>
              <w:spacing w:before="0" w:after="283"/>
              <w:jc w:val="left"/>
              <w:rPr>
                <w:sz w:val="4"/>
                <w:szCs w:val="4"/>
              </w:rPr>
            </w:pPr>
            <w:r>
              <w:rPr>
                <w:sz w:val="4"/>
                <w:szCs w:val="4"/>
              </w:rPr>
            </w:r>
          </w:p>
        </w:tc>
      </w:tr>
      <w:tr>
        <w:trPr/>
        <w:tc>
          <w:tcPr>
            <w:tcW w:w="563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786"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w:t>
            </w:r>
          </w:p>
          <w:p>
            <w:pPr>
              <w:pStyle w:val="TableContents"/>
              <w:bidi w:val="0"/>
              <w:spacing w:before="0" w:after="20"/>
              <w:jc w:val="center"/>
              <w:rPr>
                <w:rFonts w:ascii="Times New Roman" w:hAnsi="Times New Roman"/>
                <w:sz w:val="16"/>
              </w:rPr>
            </w:pPr>
            <w:r>
              <w:rPr>
                <w:rFonts w:ascii="Times New Roman" w:hAnsi="Times New Roman"/>
                <w:sz w:val="16"/>
              </w:rPr>
              <w:t>Restated)</w:t>
            </w:r>
          </w:p>
        </w:tc>
        <w:tc>
          <w:tcPr>
            <w:tcW w:w="162" w:type="dxa"/>
            <w:tcBorders/>
            <w:vAlign w:val="bottom"/>
          </w:tcPr>
          <w:p>
            <w:pPr>
              <w:pStyle w:val="TableContents"/>
              <w:bidi w:val="0"/>
              <w:spacing w:before="0" w:after="283"/>
              <w:jc w:val="left"/>
              <w:rPr/>
            </w:pPr>
            <w:r>
              <w:rPr/>
              <w:t> </w:t>
            </w:r>
          </w:p>
        </w:tc>
      </w:tr>
      <w:tr>
        <w:trPr/>
        <w:tc>
          <w:tcPr>
            <w:tcW w:w="5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Promissory Note Warrants liability</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637"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2021</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6"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5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Convertible Promissory Note Warrants</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2,006</w:t>
            </w:r>
          </w:p>
        </w:tc>
        <w:tc>
          <w:tcPr>
            <w:tcW w:w="162" w:type="dxa"/>
            <w:tcBorders/>
            <w:shd w:fill="CCEEFF" w:val="clear"/>
            <w:vAlign w:val="bottom"/>
          </w:tcPr>
          <w:p>
            <w:pPr>
              <w:pStyle w:val="TableContents"/>
              <w:bidi w:val="0"/>
              <w:spacing w:before="0" w:after="283"/>
              <w:jc w:val="left"/>
              <w:rPr/>
            </w:pPr>
            <w:r>
              <w:rPr/>
              <w:t> </w:t>
            </w:r>
          </w:p>
        </w:tc>
      </w:tr>
      <w:tr>
        <w:trPr/>
        <w:tc>
          <w:tcPr>
            <w:tcW w:w="563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Promissory Note Warrants</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(814</w:t>
            </w:r>
          </w:p>
        </w:tc>
        <w:tc>
          <w:tcPr>
            <w:tcW w:w="162" w:type="dxa"/>
            <w:tcBorders/>
            <w:vAlign w:val="bottom"/>
          </w:tcPr>
          <w:p>
            <w:pPr>
              <w:pStyle w:val="TableContents"/>
              <w:bidi w:val="0"/>
              <w:spacing w:before="0" w:after="283"/>
              <w:jc w:val="left"/>
              <w:rPr/>
            </w:pPr>
            <w:r>
              <w:rPr/>
              <w:t>) </w:t>
            </w:r>
          </w:p>
        </w:tc>
      </w:tr>
      <w:tr>
        <w:trPr/>
        <w:tc>
          <w:tcPr>
            <w:tcW w:w="5637"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1,192</w:t>
            </w:r>
          </w:p>
        </w:tc>
        <w:tc>
          <w:tcPr>
            <w:tcW w:w="162" w:type="dxa"/>
            <w:tcBorders/>
            <w:shd w:fill="CCEEFF" w:val="clear"/>
            <w:vAlign w:val="bottom"/>
          </w:tcPr>
          <w:p>
            <w:pPr>
              <w:pStyle w:val="TableContents"/>
              <w:bidi w:val="0"/>
              <w:spacing w:before="0" w:after="283"/>
              <w:jc w:val="left"/>
              <w:rPr/>
            </w:pPr>
            <w:r>
              <w:rPr/>
              <w:t> </w:t>
            </w:r>
          </w:p>
        </w:tc>
      </w:tr>
      <w:tr>
        <w:trPr/>
        <w:tc>
          <w:tcPr>
            <w:tcW w:w="5637"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rHeight w:val="240" w:hRule="atLeast"/>
        </w:trPr>
        <w:tc>
          <w:tcPr>
            <w:tcW w:w="5637" w:type="dxa"/>
            <w:tcBorders/>
            <w:vAlign w:val="center"/>
          </w:tcPr>
          <w:p>
            <w:pPr>
              <w:pStyle w:val="TableContents"/>
              <w:bidi w:val="0"/>
              <w:spacing w:before="0" w:after="283"/>
              <w:jc w:val="left"/>
              <w:rPr>
                <w:sz w:val="4"/>
                <w:szCs w:val="4"/>
              </w:rPr>
            </w:pPr>
            <w:r>
              <w:rPr>
                <w:sz w:val="4"/>
                <w:szCs w:val="4"/>
              </w:rPr>
            </w:r>
          </w:p>
        </w:tc>
        <w:tc>
          <w:tcPr>
            <w:tcW w:w="1302" w:type="dxa"/>
            <w:gridSpan w:val="4"/>
            <w:tcBorders/>
            <w:vAlign w:val="center"/>
          </w:tcPr>
          <w:p>
            <w:pPr>
              <w:pStyle w:val="TableContents"/>
              <w:bidi w:val="0"/>
              <w:spacing w:before="0" w:after="283"/>
              <w:jc w:val="left"/>
              <w:rPr>
                <w:sz w:val="4"/>
                <w:szCs w:val="4"/>
              </w:rPr>
            </w:pPr>
            <w:r>
              <w:rPr>
                <w:sz w:val="4"/>
                <w:szCs w:val="4"/>
              </w:rPr>
            </w:r>
          </w:p>
        </w:tc>
      </w:tr>
      <w:tr>
        <w:trPr/>
        <w:tc>
          <w:tcPr>
            <w:tcW w:w="563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786"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w:t>
            </w:r>
          </w:p>
          <w:p>
            <w:pPr>
              <w:pStyle w:val="TableContents"/>
              <w:bidi w:val="0"/>
              <w:spacing w:before="0" w:after="20"/>
              <w:jc w:val="center"/>
              <w:rPr>
                <w:rFonts w:ascii="Times New Roman" w:hAnsi="Times New Roman"/>
                <w:sz w:val="16"/>
              </w:rPr>
            </w:pPr>
            <w:r>
              <w:rPr>
                <w:rFonts w:ascii="Times New Roman" w:hAnsi="Times New Roman"/>
                <w:sz w:val="16"/>
              </w:rPr>
              <w:t>Restated)</w:t>
            </w:r>
          </w:p>
        </w:tc>
        <w:tc>
          <w:tcPr>
            <w:tcW w:w="162" w:type="dxa"/>
            <w:tcBorders/>
            <w:vAlign w:val="bottom"/>
          </w:tcPr>
          <w:p>
            <w:pPr>
              <w:pStyle w:val="TableContents"/>
              <w:bidi w:val="0"/>
              <w:spacing w:before="0" w:after="283"/>
              <w:jc w:val="left"/>
              <w:rPr/>
            </w:pPr>
            <w:r>
              <w:rPr/>
              <w:t> </w:t>
            </w:r>
          </w:p>
        </w:tc>
      </w:tr>
      <w:tr>
        <w:trPr/>
        <w:tc>
          <w:tcPr>
            <w:tcW w:w="5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Promissory Note liability</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637"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2021</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6"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5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convertible promissory notes</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pPr>
            <w:r>
              <w:rPr/>
              <w:t>7,902</w:t>
            </w:r>
          </w:p>
        </w:tc>
        <w:tc>
          <w:tcPr>
            <w:tcW w:w="162" w:type="dxa"/>
            <w:tcBorders/>
            <w:shd w:fill="CCEEFF" w:val="clear"/>
            <w:vAlign w:val="bottom"/>
          </w:tcPr>
          <w:p>
            <w:pPr>
              <w:pStyle w:val="TableContents"/>
              <w:bidi w:val="0"/>
              <w:spacing w:before="0" w:after="283"/>
              <w:jc w:val="left"/>
              <w:rPr/>
            </w:pPr>
            <w:r>
              <w:rPr/>
              <w:t> </w:t>
            </w:r>
          </w:p>
        </w:tc>
      </w:tr>
      <w:tr>
        <w:trPr/>
        <w:tc>
          <w:tcPr>
            <w:tcW w:w="563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promissory notes</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(2,745</w:t>
            </w:r>
          </w:p>
        </w:tc>
        <w:tc>
          <w:tcPr>
            <w:tcW w:w="162" w:type="dxa"/>
            <w:tcBorders/>
            <w:vAlign w:val="bottom"/>
          </w:tcPr>
          <w:p>
            <w:pPr>
              <w:pStyle w:val="TableContents"/>
              <w:bidi w:val="0"/>
              <w:spacing w:before="0" w:after="283"/>
              <w:jc w:val="left"/>
              <w:rPr/>
            </w:pPr>
            <w:r>
              <w:rPr/>
              <w:t>) </w:t>
            </w:r>
          </w:p>
        </w:tc>
      </w:tr>
      <w:tr>
        <w:trPr/>
        <w:tc>
          <w:tcPr>
            <w:tcW w:w="5637"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5,157</w:t>
            </w:r>
          </w:p>
        </w:tc>
        <w:tc>
          <w:tcPr>
            <w:tcW w:w="162" w:type="dxa"/>
            <w:tcBorders/>
            <w:shd w:fill="CCEEFF" w:val="clear"/>
            <w:vAlign w:val="bottom"/>
          </w:tcPr>
          <w:p>
            <w:pPr>
              <w:pStyle w:val="TableContents"/>
              <w:bidi w:val="0"/>
              <w:spacing w:before="0" w:after="283"/>
              <w:jc w:val="left"/>
              <w:rPr/>
            </w:pPr>
            <w:r>
              <w:rPr/>
              <w:t> </w:t>
            </w:r>
          </w:p>
        </w:tc>
      </w:tr>
      <w:tr>
        <w:trPr/>
        <w:tc>
          <w:tcPr>
            <w:tcW w:w="5637"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changes in fair value are recognized in other income (expense) in the accompanying statements of operations.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 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10"/>
        <w:gridCol w:w="462"/>
        <w:gridCol w:w="380"/>
        <w:gridCol w:w="1042"/>
        <w:gridCol w:w="155"/>
        <w:gridCol w:w="427"/>
        <w:gridCol w:w="380"/>
        <w:gridCol w:w="1042"/>
        <w:gridCol w:w="157"/>
      </w:tblGrid>
      <w:tr>
        <w:trPr/>
        <w:tc>
          <w:tcPr>
            <w:tcW w:w="3710"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2022</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2021</w:t>
            </w:r>
          </w:p>
        </w:tc>
        <w:tc>
          <w:tcPr>
            <w:tcW w:w="157" w:type="dxa"/>
            <w:tcBorders/>
            <w:vAlign w:val="bottom"/>
          </w:tcPr>
          <w:p>
            <w:pPr>
              <w:pStyle w:val="TableContents"/>
              <w:bidi w:val="0"/>
              <w:spacing w:before="0" w:after="283"/>
              <w:jc w:val="left"/>
              <w:rPr/>
            </w:pPr>
            <w:r>
              <w:rPr/>
              <w:t> </w:t>
            </w:r>
          </w:p>
        </w:tc>
      </w:tr>
      <w:tr>
        <w:trPr/>
        <w:tc>
          <w:tcPr>
            <w:tcW w:w="3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and telephones</w:t>
            </w:r>
          </w:p>
        </w:tc>
        <w:tc>
          <w:tcPr>
            <w:tcW w:w="462"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22</w:t>
            </w:r>
          </w:p>
        </w:tc>
        <w:tc>
          <w:tcPr>
            <w:tcW w:w="157" w:type="dxa"/>
            <w:tcBorders/>
            <w:shd w:fill="CCEEFF" w:val="clear"/>
            <w:vAlign w:val="bottom"/>
          </w:tcPr>
          <w:p>
            <w:pPr>
              <w:pStyle w:val="TableContents"/>
              <w:bidi w:val="0"/>
              <w:spacing w:before="0" w:after="283"/>
              <w:jc w:val="left"/>
              <w:rPr/>
            </w:pPr>
            <w:r>
              <w:rPr/>
              <w:t> </w:t>
            </w:r>
          </w:p>
        </w:tc>
      </w:tr>
      <w:tr>
        <w:trPr/>
        <w:tc>
          <w:tcPr>
            <w:tcW w:w="3710"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and laboratory equipment</w:t>
            </w:r>
          </w:p>
        </w:tc>
        <w:tc>
          <w:tcPr>
            <w:tcW w:w="462"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212</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209</w:t>
            </w:r>
          </w:p>
        </w:tc>
        <w:tc>
          <w:tcPr>
            <w:tcW w:w="157" w:type="dxa"/>
            <w:tcBorders/>
            <w:vAlign w:val="bottom"/>
          </w:tcPr>
          <w:p>
            <w:pPr>
              <w:pStyle w:val="TableContents"/>
              <w:bidi w:val="0"/>
              <w:spacing w:before="0" w:after="283"/>
              <w:jc w:val="left"/>
              <w:rPr/>
            </w:pPr>
            <w:r>
              <w:rPr/>
              <w:t> </w:t>
            </w:r>
          </w:p>
        </w:tc>
      </w:tr>
      <w:tr>
        <w:trPr/>
        <w:tc>
          <w:tcPr>
            <w:tcW w:w="3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equipment</w:t>
            </w:r>
          </w:p>
        </w:tc>
        <w:tc>
          <w:tcPr>
            <w:tcW w:w="462"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10</w:t>
            </w:r>
          </w:p>
        </w:tc>
        <w:tc>
          <w:tcPr>
            <w:tcW w:w="157"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710"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462"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241</w:t>
            </w:r>
          </w:p>
        </w:tc>
        <w:tc>
          <w:tcPr>
            <w:tcW w:w="157" w:type="dxa"/>
            <w:tcBorders/>
            <w:vAlign w:val="bottom"/>
          </w:tcPr>
          <w:p>
            <w:pPr>
              <w:pStyle w:val="TableContents"/>
              <w:bidi w:val="0"/>
              <w:spacing w:before="0" w:after="283"/>
              <w:jc w:val="left"/>
              <w:rPr/>
            </w:pPr>
            <w:r>
              <w:rPr/>
              <w:t> </w:t>
            </w:r>
          </w:p>
        </w:tc>
      </w:tr>
      <w:tr>
        <w:trPr/>
        <w:tc>
          <w:tcPr>
            <w:tcW w:w="3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62"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(98</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(46</w:t>
            </w:r>
          </w:p>
        </w:tc>
        <w:tc>
          <w:tcPr>
            <w:tcW w:w="157"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71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62"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147</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195</w:t>
            </w:r>
          </w:p>
        </w:tc>
        <w:tc>
          <w:tcPr>
            <w:tcW w:w="157" w:type="dxa"/>
            <w:tcBorders/>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4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was $52,000 and $42,000 for the years ended December 31, 2022 and 2021,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6. Balance Sheet Details </w:t>
      </w:r>
    </w:p>
    <w:p>
      <w:pPr>
        <w:pStyle w:val="TextBody"/>
        <w:bidi w:val="0"/>
        <w:spacing w:before="120" w:after="0"/>
        <w:jc w:val="left"/>
        <w:rPr>
          <w:rFonts w:ascii="Times New Roman" w:hAnsi="Times New Roman"/>
          <w:sz w:val="20"/>
        </w:rPr>
      </w:pPr>
      <w:r>
        <w:rPr>
          <w:rFonts w:ascii="Times New Roman" w:hAnsi="Times New Roman"/>
          <w:sz w:val="20"/>
        </w:rPr>
        <w:t xml:space="preserve">Other long-term assets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81"/>
        <w:gridCol w:w="456"/>
        <w:gridCol w:w="283"/>
        <w:gridCol w:w="1136"/>
        <w:gridCol w:w="60"/>
        <w:gridCol w:w="456"/>
        <w:gridCol w:w="283"/>
        <w:gridCol w:w="1136"/>
        <w:gridCol w:w="64"/>
      </w:tblGrid>
      <w:tr>
        <w:trPr/>
        <w:tc>
          <w:tcPr>
            <w:tcW w:w="3881"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81"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2022</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2021</w:t>
            </w:r>
          </w:p>
        </w:tc>
        <w:tc>
          <w:tcPr>
            <w:tcW w:w="64" w:type="dxa"/>
            <w:tcBorders/>
            <w:vAlign w:val="bottom"/>
          </w:tcPr>
          <w:p>
            <w:pPr>
              <w:pStyle w:val="TableContents"/>
              <w:bidi w:val="0"/>
              <w:spacing w:before="0" w:after="283"/>
              <w:jc w:val="left"/>
              <w:rPr/>
            </w:pPr>
            <w:r>
              <w:rPr/>
              <w:t> </w:t>
            </w:r>
          </w:p>
        </w:tc>
      </w:tr>
      <w:tr>
        <w:trPr/>
        <w:tc>
          <w:tcPr>
            <w:tcW w:w="3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45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1,397</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1,112</w:t>
            </w:r>
          </w:p>
        </w:tc>
        <w:tc>
          <w:tcPr>
            <w:tcW w:w="64" w:type="dxa"/>
            <w:tcBorders/>
            <w:shd w:fill="CCEEFF" w:val="clear"/>
            <w:vAlign w:val="bottom"/>
          </w:tcPr>
          <w:p>
            <w:pPr>
              <w:pStyle w:val="TableContents"/>
              <w:bidi w:val="0"/>
              <w:spacing w:before="0" w:after="283"/>
              <w:jc w:val="left"/>
              <w:rPr/>
            </w:pPr>
            <w:r>
              <w:rPr/>
              <w:t> </w:t>
            </w:r>
          </w:p>
        </w:tc>
      </w:tr>
      <w:tr>
        <w:trPr/>
        <w:tc>
          <w:tcPr>
            <w:tcW w:w="3881" w:type="dxa"/>
            <w:tcBorders/>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45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3881"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5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1,424</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1,147</w:t>
            </w:r>
          </w:p>
        </w:tc>
        <w:tc>
          <w:tcPr>
            <w:tcW w:w="64" w:type="dxa"/>
            <w:tcBorders/>
            <w:shd w:fill="CCEEFF" w:val="clear"/>
            <w:vAlign w:val="bottom"/>
          </w:tcPr>
          <w:p>
            <w:pPr>
              <w:pStyle w:val="TableContents"/>
              <w:bidi w:val="0"/>
              <w:spacing w:before="0" w:after="283"/>
              <w:jc w:val="left"/>
              <w:rPr/>
            </w:pPr>
            <w:r>
              <w:rPr/>
              <w:t> </w:t>
            </w:r>
          </w:p>
        </w:tc>
      </w:tr>
      <w:tr>
        <w:trPr/>
        <w:tc>
          <w:tcPr>
            <w:tcW w:w="3881"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Accrued expenses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90"/>
        <w:gridCol w:w="449"/>
        <w:gridCol w:w="283"/>
        <w:gridCol w:w="1139"/>
        <w:gridCol w:w="60"/>
        <w:gridCol w:w="449"/>
        <w:gridCol w:w="283"/>
        <w:gridCol w:w="1139"/>
        <w:gridCol w:w="63"/>
      </w:tblGrid>
      <w:tr>
        <w:trPr/>
        <w:tc>
          <w:tcPr>
            <w:tcW w:w="3890"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9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2022</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2021</w:t>
            </w:r>
          </w:p>
        </w:tc>
        <w:tc>
          <w:tcPr>
            <w:tcW w:w="63" w:type="dxa"/>
            <w:tcBorders/>
            <w:vAlign w:val="bottom"/>
          </w:tcPr>
          <w:p>
            <w:pPr>
              <w:pStyle w:val="TableContents"/>
              <w:bidi w:val="0"/>
              <w:spacing w:before="0" w:after="283"/>
              <w:jc w:val="left"/>
              <w:rPr/>
            </w:pPr>
            <w:r>
              <w:rPr/>
              <w:t> </w:t>
            </w:r>
          </w:p>
        </w:tc>
      </w:tr>
      <w:tr>
        <w:trPr/>
        <w:tc>
          <w:tcPr>
            <w:tcW w:w="3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payroll and other employee benefits</w:t>
            </w:r>
          </w:p>
        </w:tc>
        <w:tc>
          <w:tcPr>
            <w:tcW w:w="44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634</w:t>
            </w:r>
          </w:p>
        </w:tc>
        <w:tc>
          <w:tcPr>
            <w:tcW w:w="63" w:type="dxa"/>
            <w:tcBorders/>
            <w:shd w:fill="CCEEFF" w:val="clear"/>
            <w:vAlign w:val="bottom"/>
          </w:tcPr>
          <w:p>
            <w:pPr>
              <w:pStyle w:val="TableContents"/>
              <w:bidi w:val="0"/>
              <w:spacing w:before="0" w:after="283"/>
              <w:jc w:val="left"/>
              <w:rPr/>
            </w:pPr>
            <w:r>
              <w:rPr/>
              <w:t> </w:t>
            </w:r>
          </w:p>
        </w:tc>
      </w:tr>
      <w:tr>
        <w:trPr/>
        <w:tc>
          <w:tcPr>
            <w:tcW w:w="3890" w:type="dxa"/>
            <w:tcBorders/>
          </w:tcPr>
          <w:p>
            <w:pPr>
              <w:pStyle w:val="TableContents"/>
              <w:bidi w:val="0"/>
              <w:spacing w:before="0" w:after="0"/>
              <w:jc w:val="left"/>
              <w:rPr>
                <w:rFonts w:ascii="Times New Roman" w:hAnsi="Times New Roman"/>
                <w:sz w:val="20"/>
              </w:rPr>
            </w:pPr>
            <w:r>
              <w:rPr>
                <w:rFonts w:ascii="Times New Roman" w:hAnsi="Times New Roman"/>
                <w:sz w:val="20"/>
              </w:rPr>
              <w:t>Accrued clinical trial costs</w:t>
            </w:r>
          </w:p>
        </w:tc>
        <w:tc>
          <w:tcPr>
            <w:tcW w:w="44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1,143</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691</w:t>
            </w:r>
          </w:p>
        </w:tc>
        <w:tc>
          <w:tcPr>
            <w:tcW w:w="63" w:type="dxa"/>
            <w:tcBorders/>
            <w:vAlign w:val="bottom"/>
          </w:tcPr>
          <w:p>
            <w:pPr>
              <w:pStyle w:val="TableContents"/>
              <w:bidi w:val="0"/>
              <w:spacing w:before="0" w:after="283"/>
              <w:jc w:val="left"/>
              <w:rPr/>
            </w:pPr>
            <w:r>
              <w:rPr/>
              <w:t> </w:t>
            </w:r>
          </w:p>
        </w:tc>
      </w:tr>
      <w:tr>
        <w:trPr/>
        <w:tc>
          <w:tcPr>
            <w:tcW w:w="3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w:t>
            </w:r>
          </w:p>
        </w:tc>
        <w:tc>
          <w:tcPr>
            <w:tcW w:w="44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536</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504</w:t>
            </w:r>
          </w:p>
        </w:tc>
        <w:tc>
          <w:tcPr>
            <w:tcW w:w="63" w:type="dxa"/>
            <w:tcBorders/>
            <w:shd w:fill="CCEEFF" w:val="clear"/>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890"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w:t>
            </w:r>
          </w:p>
        </w:tc>
        <w:tc>
          <w:tcPr>
            <w:tcW w:w="44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9" w:type="dxa"/>
            <w:tcBorders/>
            <w:vAlign w:val="bottom"/>
          </w:tcPr>
          <w:p>
            <w:pPr>
              <w:pStyle w:val="TableContents"/>
              <w:bidi w:val="0"/>
              <w:spacing w:before="0" w:after="283"/>
              <w:jc w:val="right"/>
              <w:rPr/>
            </w:pPr>
            <w:r>
              <w:rPr/>
              <w:t>1,715</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9" w:type="dxa"/>
            <w:tcBorders/>
            <w:vAlign w:val="bottom"/>
          </w:tcPr>
          <w:p>
            <w:pPr>
              <w:pStyle w:val="TableContents"/>
              <w:bidi w:val="0"/>
              <w:spacing w:before="0" w:after="283"/>
              <w:jc w:val="right"/>
              <w:rPr/>
            </w:pPr>
            <w:r>
              <w:rPr/>
              <w:t>1,829</w:t>
            </w:r>
          </w:p>
        </w:tc>
        <w:tc>
          <w:tcPr>
            <w:tcW w:w="63" w:type="dxa"/>
            <w:tcBorders/>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7. Convertible Promissory Notes and Convertible Promissory Note Warrants </w:t>
      </w:r>
    </w:p>
    <w:p>
      <w:pPr>
        <w:pStyle w:val="TextBody"/>
        <w:bidi w:val="0"/>
        <w:spacing w:before="120" w:after="0"/>
        <w:jc w:val="left"/>
        <w:rPr>
          <w:rFonts w:ascii="Times New Roman" w:hAnsi="Times New Roman"/>
          <w:sz w:val="20"/>
        </w:rPr>
      </w:pPr>
      <w:r>
        <w:rPr>
          <w:rFonts w:ascii="Times New Roman" w:hAnsi="Times New Roman"/>
          <w:sz w:val="20"/>
        </w:rPr>
        <w:t xml:space="preserve">In April 2022, the Board of Directors approved a convertible promissory note financing pursuant to which it may issue and sell up to $5.0 million of notes convertible into shares of common stock (the convertible promissory notes) and Convertible Promissory Note Warrants. The funding and issuance of the convertible promissory notes for gross proceeds of $3.5 million and Convertible Promissory Note Warrants to purchase shares of the Companys common stock at an exercise price of $0.01 per share have taken place in multiple closings through October 2022.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2022, the Board of Directors amended the convertible promissory notes and Convertible Promissory Note Warrants to issue up to an additional $3.5 million (for a total of up to $8.5 million) and to add an automatic conversion feature in the event the Company consummates a de-SPAC business combination or a reverse merger transaction with a publicly traded company (Public Combination). In November 2022, the Company issued additional convertible promissory notes for gross proceeds of $5.0 million and Convertible Promissory Note Warrants to purchase shares of the Companys common stock at an exercise price of $0.01 per share. The convertible promissory notes accrue 6% simple interest and shall be due and payable on or after December 31, 2023, or a later date as agreed upon request of the holders of at least 80% of the outstanding principal amount of the convertible promissory notes. The convertible promissory notes automatically convert into common stock upon (a) a qualified financing or IPO with an 85% conversion discount of the cash price paid per share by such qualified financing or IPO investors, as applicable and (b) in the event the Company consummates a Public Combination, the convertible promissory notes will convert into common stock at a conversion or exchange price based on the equivalent valuation of the lower of (i) the cash price paid per share by the investors purchasing shares in the publicly traded company in connection with the Public Combination multiplied by 0.85 or (ii) the cash price paid per share by the investors purchasing shares of the Companys common stock in connection with the Public Combination multiplied by 0.85. Upon a change of control that is consummated prior to a qualified financing, reverse merger or IPO, the Company shall repay the convertible promissory note holders the outstanding principal and unpaid accrued interest, plus an additional payment equal to 250% of the principal amount of such holders convertible promissory note. In an event of default, the convertible promissory note shall accelerate, and all principal and unpaid accrued interest shall become due and payable.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holder of the Convertible Promissory Note Warrants has the right to purchase up to a number of shares of the Companys common stock equal to (i) 15% Warrant Coverage of the principal amount of the convertible promissory note purchased by such holder concurrently therewith, divided by (ii) the cash price paid per share by the investors in the qualified financing or IPO, as applicable, or in the case of a Public Combination, the equivalent valuation of the lower of the cash price per share by the investors purchasing shares in the publicly traded company in connection with such Public Combination or the cash price per shares by the investors purchasing shares of the Companys common stock in connection with such Public Combination; provided, however, that any holder that purchases convertible promissory notes in excess of the holders pro rata commitment (as defined in the convertible promissory note) shall receive a 40% Warrant Coverage that is in excess of its pro rata commitment. In the case of a Public Combination, the Warrants shall automatically be exercised. The Company issued $2.7 million of Convertible Promissory Note Warrants based on the principal amount of each convertible promissory note.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Promissory Note Warrants are not deemed equity and are classified as a liability in the Companys balance sheets. The Convertible Promissory Note Warrants are valued using a series of Monte Carlo simulations and Black-Scholes to determine the fair value, probability weighted for difference scenarios. The Monte Carlo simulations determined the liquidity event price. The Black-Scholes warrant value is discounted from the respective event date using the risk-free rate. The Black-Scholes valuation included standard assumptions such as exercise price, expected term, risk-free rate, volatility, and a dividend yield of zero. The Company estimated the initial fair value of the Convertible Promissory Note Warrants utilizing the following range of assumptions for the difference scenarios: exercise price ($0.01), risk-free rate (3.02% - 4.20%), volatility (63% - 67%), and expected term (4.1 - 4.6 years).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the allocation of the convertible promissory notes and Convertible Promissory Note Warrants: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25"/>
        <w:gridCol w:w="533"/>
        <w:gridCol w:w="283"/>
        <w:gridCol w:w="1135"/>
        <w:gridCol w:w="63"/>
      </w:tblGrid>
      <w:tr>
        <w:trPr/>
        <w:tc>
          <w:tcPr>
            <w:tcW w:w="4925" w:type="dxa"/>
            <w:tcBorders/>
            <w:vAlign w:val="center"/>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25"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2022</w:t>
            </w:r>
          </w:p>
        </w:tc>
        <w:tc>
          <w:tcPr>
            <w:tcW w:w="63" w:type="dxa"/>
            <w:tcBorders/>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1418"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w:t>
            </w:r>
          </w:p>
          <w:p>
            <w:pPr>
              <w:pStyle w:val="TableContents"/>
              <w:bidi w:val="0"/>
              <w:spacing w:before="0" w:after="20"/>
              <w:jc w:val="center"/>
              <w:rPr>
                <w:rFonts w:ascii="Times New Roman" w:hAnsi="Times New Roman"/>
                <w:sz w:val="16"/>
              </w:rPr>
            </w:pPr>
            <w:r>
              <w:rPr>
                <w:rFonts w:ascii="Times New Roman" w:hAnsi="Times New Roman"/>
                <w:sz w:val="16"/>
              </w:rPr>
              <w:t>Restated)</w:t>
            </w:r>
          </w:p>
        </w:tc>
        <w:tc>
          <w:tcPr>
            <w:tcW w:w="63"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promissory note fair value</w:t>
            </w:r>
          </w:p>
        </w:tc>
        <w:tc>
          <w:tcPr>
            <w:tcW w:w="53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5" w:type="dxa"/>
            <w:tcBorders/>
            <w:shd w:fill="CCEEFF" w:val="clear"/>
            <w:vAlign w:val="bottom"/>
          </w:tcPr>
          <w:p>
            <w:pPr>
              <w:pStyle w:val="TableContents"/>
              <w:bidi w:val="0"/>
              <w:spacing w:before="0" w:after="283"/>
              <w:jc w:val="right"/>
              <w:rPr/>
            </w:pPr>
            <w:r>
              <w:rPr/>
              <w:t>5,157</w:t>
            </w:r>
          </w:p>
        </w:tc>
        <w:tc>
          <w:tcPr>
            <w:tcW w:w="63"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Promissory Note Warrants</w:t>
            </w:r>
          </w:p>
        </w:tc>
        <w:tc>
          <w:tcPr>
            <w:tcW w:w="53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1,192</w:t>
            </w:r>
          </w:p>
        </w:tc>
        <w:tc>
          <w:tcPr>
            <w:tcW w:w="63" w:type="dxa"/>
            <w:tcBorders/>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fair value of convertible promissory notes</w:t>
            </w:r>
          </w:p>
        </w:tc>
        <w:tc>
          <w:tcPr>
            <w:tcW w:w="53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5" w:type="dxa"/>
            <w:tcBorders/>
            <w:shd w:fill="CCEEFF" w:val="clear"/>
            <w:vAlign w:val="bottom"/>
          </w:tcPr>
          <w:p>
            <w:pPr>
              <w:pStyle w:val="TableContents"/>
              <w:bidi w:val="0"/>
              <w:spacing w:before="0" w:after="283"/>
              <w:jc w:val="right"/>
              <w:rPr/>
            </w:pPr>
            <w:r>
              <w:rPr/>
              <w:t>6,349</w:t>
            </w:r>
          </w:p>
        </w:tc>
        <w:tc>
          <w:tcPr>
            <w:tcW w:w="63"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8. Convertible Preferred Stock, Common Stock and Stockholders Equity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convertible preferred stock consists of Series A preferred stock (Series A preferred), Series B preferred stock (Series B preferred), Series C-1 preferred stock (Series C-1 preferred), Series C-2 preferred stock (Series C-2 preferred) and Series D preferred stock (Series D preferred).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outstanding convertible preferred stock as of December 31, 2022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40"/>
        <w:gridCol w:w="181"/>
        <w:gridCol w:w="60"/>
        <w:gridCol w:w="1226"/>
        <w:gridCol w:w="60"/>
        <w:gridCol w:w="181"/>
        <w:gridCol w:w="66"/>
        <w:gridCol w:w="1221"/>
        <w:gridCol w:w="60"/>
        <w:gridCol w:w="181"/>
        <w:gridCol w:w="164"/>
        <w:gridCol w:w="807"/>
        <w:gridCol w:w="60"/>
        <w:gridCol w:w="181"/>
        <w:gridCol w:w="146"/>
        <w:gridCol w:w="738"/>
        <w:gridCol w:w="60"/>
        <w:gridCol w:w="181"/>
        <w:gridCol w:w="207"/>
        <w:gridCol w:w="1018"/>
        <w:gridCol w:w="67"/>
      </w:tblGrid>
      <w:tr>
        <w:trPr/>
        <w:tc>
          <w:tcPr>
            <w:tcW w:w="334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3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Series</w:t>
            </w:r>
          </w:p>
        </w:tc>
        <w:tc>
          <w:tcPr>
            <w:tcW w:w="181"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Original</w:t>
              <w:br/>
              <w:t>Issue</w:t>
              <w:br/>
              <w:t>Price,</w:t>
              <w:br/>
              <w:t>per share</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7" w:type="dxa"/>
            <w:tcBorders/>
            <w:vAlign w:val="bottom"/>
          </w:tcPr>
          <w:p>
            <w:pPr>
              <w:pStyle w:val="TableContents"/>
              <w:bidi w:val="0"/>
              <w:spacing w:before="0" w:after="283"/>
              <w:jc w:val="left"/>
              <w:rPr/>
            </w:pPr>
            <w:r>
              <w:rPr/>
              <w:t> </w:t>
            </w:r>
          </w:p>
        </w:tc>
      </w:tr>
      <w:tr>
        <w:trPr/>
        <w:tc>
          <w:tcPr>
            <w:tcW w:w="3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preferred</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25,751,716</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25,751,716</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19,107</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0.77</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19,829</w:t>
            </w:r>
          </w:p>
        </w:tc>
        <w:tc>
          <w:tcPr>
            <w:tcW w:w="67" w:type="dxa"/>
            <w:tcBorders/>
            <w:shd w:fill="CCEEFF" w:val="clear"/>
            <w:vAlign w:val="bottom"/>
          </w:tcPr>
          <w:p>
            <w:pPr>
              <w:pStyle w:val="TableContents"/>
              <w:bidi w:val="0"/>
              <w:spacing w:before="0" w:after="283"/>
              <w:jc w:val="left"/>
              <w:rPr/>
            </w:pPr>
            <w:r>
              <w:rPr/>
              <w:t> </w:t>
            </w:r>
          </w:p>
        </w:tc>
      </w:tr>
      <w:tr>
        <w:trPr/>
        <w:tc>
          <w:tcPr>
            <w:tcW w:w="3340" w:type="dxa"/>
            <w:tcBorders/>
          </w:tcPr>
          <w:p>
            <w:pPr>
              <w:pStyle w:val="TableContents"/>
              <w:bidi w:val="0"/>
              <w:spacing w:before="0" w:after="0"/>
              <w:jc w:val="left"/>
              <w:rPr>
                <w:rFonts w:ascii="Times New Roman" w:hAnsi="Times New Roman"/>
                <w:sz w:val="20"/>
              </w:rPr>
            </w:pPr>
            <w:r>
              <w:rPr>
                <w:rFonts w:ascii="Times New Roman" w:hAnsi="Times New Roman"/>
                <w:sz w:val="20"/>
              </w:rPr>
              <w:t>Series B preferred</w:t>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11,235,460</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10,667,279</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8,224</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0.77</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8,214</w:t>
            </w:r>
          </w:p>
        </w:tc>
        <w:tc>
          <w:tcPr>
            <w:tcW w:w="67" w:type="dxa"/>
            <w:tcBorders/>
            <w:vAlign w:val="bottom"/>
          </w:tcPr>
          <w:p>
            <w:pPr>
              <w:pStyle w:val="TableContents"/>
              <w:bidi w:val="0"/>
              <w:spacing w:before="0" w:after="283"/>
              <w:jc w:val="left"/>
              <w:rPr/>
            </w:pPr>
            <w:r>
              <w:rPr/>
              <w:t> </w:t>
            </w:r>
          </w:p>
        </w:tc>
      </w:tr>
      <w:tr>
        <w:trPr/>
        <w:tc>
          <w:tcPr>
            <w:tcW w:w="3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C-1 preferred</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8,016,886</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8,016,886</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5,683</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0.58</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4,650</w:t>
            </w:r>
          </w:p>
        </w:tc>
        <w:tc>
          <w:tcPr>
            <w:tcW w:w="67" w:type="dxa"/>
            <w:tcBorders/>
            <w:shd w:fill="CCEEFF" w:val="clear"/>
            <w:vAlign w:val="bottom"/>
          </w:tcPr>
          <w:p>
            <w:pPr>
              <w:pStyle w:val="TableContents"/>
              <w:bidi w:val="0"/>
              <w:spacing w:before="0" w:after="283"/>
              <w:jc w:val="left"/>
              <w:rPr/>
            </w:pPr>
            <w:r>
              <w:rPr/>
              <w:t> </w:t>
            </w:r>
          </w:p>
        </w:tc>
      </w:tr>
      <w:tr>
        <w:trPr/>
        <w:tc>
          <w:tcPr>
            <w:tcW w:w="3340" w:type="dxa"/>
            <w:tcBorders/>
          </w:tcPr>
          <w:p>
            <w:pPr>
              <w:pStyle w:val="TableContents"/>
              <w:bidi w:val="0"/>
              <w:spacing w:before="0" w:after="0"/>
              <w:jc w:val="left"/>
              <w:rPr>
                <w:rFonts w:ascii="Times New Roman" w:hAnsi="Times New Roman"/>
                <w:sz w:val="20"/>
              </w:rPr>
            </w:pPr>
            <w:r>
              <w:rPr>
                <w:rFonts w:ascii="Times New Roman" w:hAnsi="Times New Roman"/>
                <w:sz w:val="20"/>
              </w:rPr>
              <w:t>Series C-2 preferred</w:t>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16,291,526</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13,504,959</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9,563</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0.77</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10,399</w:t>
            </w:r>
          </w:p>
        </w:tc>
        <w:tc>
          <w:tcPr>
            <w:tcW w:w="67" w:type="dxa"/>
            <w:tcBorders/>
            <w:vAlign w:val="bottom"/>
          </w:tcPr>
          <w:p>
            <w:pPr>
              <w:pStyle w:val="TableContents"/>
              <w:bidi w:val="0"/>
              <w:spacing w:before="0" w:after="283"/>
              <w:jc w:val="left"/>
              <w:rPr/>
            </w:pPr>
            <w:r>
              <w:rPr/>
              <w:t> </w:t>
            </w:r>
          </w:p>
        </w:tc>
      </w:tr>
      <w:tr>
        <w:trPr/>
        <w:tc>
          <w:tcPr>
            <w:tcW w:w="3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 preferred</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88,875,077</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26,880,040</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19,494</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0.8045</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21,625</w:t>
            </w:r>
          </w:p>
        </w:tc>
        <w:tc>
          <w:tcPr>
            <w:tcW w:w="67" w:type="dxa"/>
            <w:tcBorders/>
            <w:shd w:fill="CCEEFF" w:val="clear"/>
            <w:vAlign w:val="bottom"/>
          </w:tcPr>
          <w:p>
            <w:pPr>
              <w:pStyle w:val="TableContents"/>
              <w:bidi w:val="0"/>
              <w:spacing w:before="0" w:after="283"/>
              <w:jc w:val="left"/>
              <w:rPr/>
            </w:pPr>
            <w:r>
              <w:rPr/>
              <w:t> </w:t>
            </w:r>
          </w:p>
        </w:tc>
      </w:tr>
      <w:tr>
        <w:trPr/>
        <w:tc>
          <w:tcPr>
            <w:tcW w:w="334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340" w:type="dxa"/>
            <w:tcBorders/>
          </w:tcPr>
          <w:p>
            <w:pPr>
              <w:pStyle w:val="TableContents"/>
              <w:bidi w:val="0"/>
              <w:spacing w:before="0" w:after="0"/>
              <w:jc w:val="left"/>
              <w:rPr>
                <w:rFonts w:ascii="Times New Roman" w:hAnsi="Times New Roman"/>
                <w:sz w:val="20"/>
              </w:rPr>
            </w:pPr>
            <w:r>
              <w:rPr>
                <w:rFonts w:ascii="Times New Roman" w:hAnsi="Times New Roman"/>
                <w:sz w:val="20"/>
              </w:rPr>
              <w:t>Total Convertible Preferred Stock</w:t>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150,170,665</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84,820,880</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62,071</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64,717</w:t>
            </w:r>
          </w:p>
        </w:tc>
        <w:tc>
          <w:tcPr>
            <w:tcW w:w="67" w:type="dxa"/>
            <w:tcBorders/>
            <w:vAlign w:val="bottom"/>
          </w:tcPr>
          <w:p>
            <w:pPr>
              <w:pStyle w:val="TableContents"/>
              <w:bidi w:val="0"/>
              <w:spacing w:before="0" w:after="283"/>
              <w:jc w:val="left"/>
              <w:rPr/>
            </w:pPr>
            <w:r>
              <w:rPr/>
              <w:t> </w:t>
            </w:r>
          </w:p>
        </w:tc>
      </w:tr>
      <w:tr>
        <w:trPr/>
        <w:tc>
          <w:tcPr>
            <w:tcW w:w="334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February 2021, the Company entered into an agreement for the issuance of up to 88,875,077 shares of Series D preferred at $0.8045 per share. The funding of the Series D preferred and warrants took place in two closings inclusive of the initial closing. The First Tranche closed in February and the Second Tranche closed in June and July 2021. The Company issued a total 26,880,040 shares of Series D preferred and warrants to purchase 7,840,257 shares of Series D preferred (the Series D Warrant) for gross proceeds of $21.6 million. The Series D Warrant is recorded as a warrant liability in the Companys balance sheet. The proceeds from the Series D preferred issuance were reduced by the fair value of the Series D Warrant. The fair value of the Series D Warrant was determined to be $1.8 million using the Hybrid Method, which allocates the various series of preferred and common stock based on their respective seniority, liquidation preferences or conversion rates, whichever is greatest.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Classification of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Convertible preferred stock is classified outside of stockholders deficit on the accompanying balance sheets because such shares have liquidation rights in the event of a deemed liquidation that, in certain situations, are not solely within the control of the Company and would require the redemption of the then outstanding shares of convertible preferred stock. Convertible preferred stock is not redeemable, except in the event of a deemed liquidation. </w:t>
      </w:r>
    </w:p>
    <w:p>
      <w:pPr>
        <w:pStyle w:val="TextBody"/>
        <w:bidi w:val="0"/>
        <w:spacing w:before="240" w:after="0"/>
        <w:jc w:val="left"/>
        <w:rPr>
          <w:rFonts w:ascii="Times New Roman" w:hAnsi="Times New Roman"/>
          <w:sz w:val="20"/>
        </w:rPr>
      </w:pPr>
      <w:r>
        <w:rPr>
          <w:rFonts w:ascii="Times New Roman" w:hAnsi="Times New Roman"/>
          <w:sz w:val="20"/>
        </w:rPr>
        <w:t xml:space="preserve">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convertible preferred stock are entitled to receive noncumulative dividends at a rate of $0.0464 for Series C-1 preferred, $0.0616 per share per annum for the Series A preferred, Series B preferred and Series C-2 preferred and $0.0644 for Series D preferred. Dividends are payable when and if declared by the Board of Directors. As of December 31, 2022, no dividends have been declared. The dividends are payable in preference and in priority to dividends on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convertible preferred stock are entitled to receive liquidation preferences at the rate of $0.58 for Series C-1 preferred and $0.77 per share for Series A preferred, Series B preferred, and Series C-2 preferred and $0.8045 for Series D preferred. The aggregate distribution made with respect to any share of convertible preferred stock shall not exceed an amount equal to two times the liquidation preference for that share of convertible preferred stock plus any declared but unpaid dividends. Liquidation payments to the holders of Series D preferred, Series C-1 preferred and Series C-2 preferred have priority and are made in preference to any payments to the holders of Series A preferred, Series B preferred and common stock. Liquidation payments to the holders of Series A preferred and Series B preferred have priority and are made in preference to any payments to holders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Provisions </w:t>
      </w:r>
    </w:p>
    <w:p>
      <w:pPr>
        <w:pStyle w:val="TextBody"/>
        <w:bidi w:val="0"/>
        <w:spacing w:before="120" w:after="0"/>
        <w:jc w:val="left"/>
        <w:rPr>
          <w:rFonts w:ascii="Times New Roman" w:hAnsi="Times New Roman"/>
          <w:sz w:val="20"/>
        </w:rPr>
      </w:pPr>
      <w:r>
        <w:rPr>
          <w:rFonts w:ascii="Times New Roman" w:hAnsi="Times New Roman"/>
          <w:sz w:val="20"/>
        </w:rPr>
        <w:t xml:space="preserve">Shares of convertible preferred stock are convertible into an equal number of shares of common stock, at the option of the holder, subject to certain anti- dilution adjustments. Each share of convertible preferred stock is automatically converted into common stock upon (i) the sale of common stock pursuant to a registration statement under the Securities Act of 1933, as amended, in which the per share price is at least $2.4135 (as adjusted) and the gross cash proceeds are at least $50 million or (ii) the affirmative vote of more than 50% of the holders of the then outstanding convertible preferred stock. As discussed in Note 14, these shares were converted into common stock in conjunction with the Merger in March 2023 based on the exchange ratio of 0.0288.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are entitled to one vote for each share of common stock into which such convertible preferred stock could then be converted; and with respect to such vote, such holder shall have full voting rights and powers equal to the voting rights and powers of the holders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Agreement, on November 21, 2022, the Company entered into a securities purchase agreement (the Securities Purchase Agreement) with certain investors, pursuant to which such investors agreed to purchase shares of the Companys common stock to be issued and sold by the Company pursuant to a private placement to be consummated immediately prior to the closing of the Merger, for an aggregate purchase price of $10.3 million, subject to and in accordance with the Securities Purchase Agreement (the private placement). The Securities Purchase Agreement was contingent upon a successful merger closing and occurred immediately prior to the closing of the Merger. The Company sold shares of common stock with a par value of $0.001 at a purchase price equal to the Company valuation divided by the Company outstanding shares immediately prior to the effective time of the Merger. As discussed in Note 14, the Company issued such shares in March 2023 immediately prior to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and 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issuance of Convertible Notes in 2016, 568,181 warrants to purchase Series B preferred were issued at an exercise price of $0.77 per share (the Series B Warrants). The Series B Warrants are exercisable at any time after February 28, 2017, through the earliest to occur of ten years after the issue date or prior to the date of sale of common stock in an IPO or a deemed liquidation event. These Series B Warrants are accounted for as a liability and had a fair value of $45,000 (as restated) and $199,000 at December 31, 2022 and December 31, 2021,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Series C-2 preferred in May 2020, the Company issued the Series C-2 Warrant, which is exercisable for 2,786,567 shares of Series C-2 preferred at an exercise price of $0.77 per share. The Series C-2 Warrant is exercisable at any time after May 20, 2020, through the earliest to occur of ten years after the issue date or prior to the date of a deemed liquidation, public combination or an IPO. In the event of a deemed liquidation, public combination or an IPO, the entire 2,786,567 shares of Series C-2 preferred will automatically be issued by the Company in exchange for the cancellation of the Series C-2 Warrant, for no additional consideration. The Series C-2 Warrant is accounted for as a liability and had a fair value of $0.9 million (as restated) and $1.5 million at December 31, 2022 and December 31, 2021, respectively.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issuance of Series D preferred in 2021, the Company issued warrants to purchase 8,063,998 shares of Series D preferred with an exercise price of $0.8045 per share. The Series D Warrants are exercisable at any time after the date of issuance through the earliest to occur of five years after the issue date or prior to the date of sale of common stock in an IPO or a deemed liquidation. The Series D Warrants are accounted for as a liability and had a fair value of $0.6 million (as restated) and $2.7 million at December 31, 2022 and December 31, 2021,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2020, the Company granted a warrant to purchase 11,520 shares of common stock to a consulting firm affiliated with its interim chief financial officer in connection with its consulting agreement. The warrant has a 10-year term, an exercise price of $6.60, and vests ratably over 24 months commencing on the effective date. At the date of issuance, the fair value of the warrant was determined to be $120,000, utilizing Black Scholes with the following assumptions: expected term of ten years, risk-free rate of 0.96%, volatility of 80.0% and a dividend yield of zero, which has been recognized as general and administrative expense over the vesting period. The warrant is currently classified as equity and the Company expensed $50,000 and $60,000 to general and administrative expense related to this warrant for the years ended December 31, 2022 and 2021,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October 2022, the Company granted warrants to certain officers and directors to purchase 14,313 shares of common stock. The warrants have a 10-year term, an exercise price of $10.42, and vest ratably over 12 and 48 months. At the date of issuance, the fair value of the warrants collectively was $125,000 and was determined utilizing Black-Scholes and will be recognized as general and administrative expense over the vesting periods. Assumptions used in the valuation were as follows: expected term of ten years, risk free rate of 4.10%, volatility of 82% and a dividend yield of zero. The warrants are classified as equity and the Company expensed $33,000 to general and administrative expense in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outstanding warrants as of December 31, 2022: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80"/>
        <w:gridCol w:w="377"/>
        <w:gridCol w:w="60"/>
        <w:gridCol w:w="1238"/>
        <w:gridCol w:w="60"/>
        <w:gridCol w:w="377"/>
        <w:gridCol w:w="354"/>
        <w:gridCol w:w="1245"/>
        <w:gridCol w:w="64"/>
      </w:tblGrid>
      <w:tr>
        <w:trPr/>
        <w:tc>
          <w:tcPr>
            <w:tcW w:w="3980"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Warrants</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599"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w:t>
            </w:r>
            <w:r>
              <w:rPr/>
              <w:br/>
            </w:r>
            <w:r>
              <w:rPr>
                <w:b/>
              </w:rPr>
              <w:t>Exercise Price</w:t>
            </w:r>
          </w:p>
        </w:tc>
        <w:tc>
          <w:tcPr>
            <w:tcW w:w="64" w:type="dxa"/>
            <w:tcBorders/>
            <w:vAlign w:val="bottom"/>
          </w:tcPr>
          <w:p>
            <w:pPr>
              <w:pStyle w:val="TableContents"/>
              <w:bidi w:val="0"/>
              <w:spacing w:before="0" w:after="283"/>
              <w:jc w:val="left"/>
              <w:rPr/>
            </w:pPr>
            <w:r>
              <w:rPr/>
              <w:t> </w:t>
            </w:r>
          </w:p>
        </w:tc>
      </w:tr>
      <w:tr>
        <w:trPr/>
        <w:tc>
          <w:tcPr>
            <w:tcW w:w="3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3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25,833</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8.72</w:t>
            </w:r>
          </w:p>
        </w:tc>
        <w:tc>
          <w:tcPr>
            <w:tcW w:w="64" w:type="dxa"/>
            <w:tcBorders/>
            <w:shd w:fill="CCEEFF" w:val="clear"/>
            <w:vAlign w:val="bottom"/>
          </w:tcPr>
          <w:p>
            <w:pPr>
              <w:pStyle w:val="TableContents"/>
              <w:bidi w:val="0"/>
              <w:spacing w:before="0" w:after="283"/>
              <w:jc w:val="left"/>
              <w:rPr/>
            </w:pPr>
            <w:r>
              <w:rPr/>
              <w:t> </w:t>
            </w:r>
          </w:p>
        </w:tc>
      </w:tr>
      <w:tr>
        <w:trPr/>
        <w:tc>
          <w:tcPr>
            <w:tcW w:w="3980" w:type="dxa"/>
            <w:tcBorders/>
          </w:tcPr>
          <w:p>
            <w:pPr>
              <w:pStyle w:val="TableContents"/>
              <w:bidi w:val="0"/>
              <w:spacing w:before="0" w:after="0"/>
              <w:jc w:val="left"/>
              <w:rPr>
                <w:rFonts w:ascii="Times New Roman" w:hAnsi="Times New Roman"/>
                <w:sz w:val="20"/>
              </w:rPr>
            </w:pPr>
            <w:r>
              <w:rPr>
                <w:rFonts w:ascii="Times New Roman" w:hAnsi="Times New Roman"/>
                <w:sz w:val="20"/>
              </w:rPr>
              <w:t>Series B Warrants</w:t>
            </w:r>
          </w:p>
        </w:tc>
        <w:tc>
          <w:tcPr>
            <w:tcW w:w="3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568,181</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0.77</w:t>
            </w:r>
          </w:p>
        </w:tc>
        <w:tc>
          <w:tcPr>
            <w:tcW w:w="64" w:type="dxa"/>
            <w:tcBorders/>
            <w:vAlign w:val="bottom"/>
          </w:tcPr>
          <w:p>
            <w:pPr>
              <w:pStyle w:val="TableContents"/>
              <w:bidi w:val="0"/>
              <w:spacing w:before="0" w:after="283"/>
              <w:jc w:val="left"/>
              <w:rPr/>
            </w:pPr>
            <w:r>
              <w:rPr/>
              <w:t> </w:t>
            </w:r>
          </w:p>
        </w:tc>
      </w:tr>
      <w:tr>
        <w:trPr/>
        <w:tc>
          <w:tcPr>
            <w:tcW w:w="3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C-2 Warrants</w:t>
            </w:r>
          </w:p>
        </w:tc>
        <w:tc>
          <w:tcPr>
            <w:tcW w:w="3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2,786,567</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0.77</w:t>
            </w:r>
          </w:p>
        </w:tc>
        <w:tc>
          <w:tcPr>
            <w:tcW w:w="64" w:type="dxa"/>
            <w:tcBorders/>
            <w:shd w:fill="CCEEFF" w:val="clear"/>
            <w:vAlign w:val="bottom"/>
          </w:tcPr>
          <w:p>
            <w:pPr>
              <w:pStyle w:val="TableContents"/>
              <w:bidi w:val="0"/>
              <w:spacing w:before="0" w:after="283"/>
              <w:jc w:val="left"/>
              <w:rPr/>
            </w:pPr>
            <w:r>
              <w:rPr/>
              <w:t> </w:t>
            </w:r>
          </w:p>
        </w:tc>
      </w:tr>
      <w:tr>
        <w:trPr/>
        <w:tc>
          <w:tcPr>
            <w:tcW w:w="3980" w:type="dxa"/>
            <w:tcBorders/>
          </w:tcPr>
          <w:p>
            <w:pPr>
              <w:pStyle w:val="TableContents"/>
              <w:bidi w:val="0"/>
              <w:spacing w:before="0" w:after="0"/>
              <w:jc w:val="left"/>
              <w:rPr>
                <w:rFonts w:ascii="Times New Roman" w:hAnsi="Times New Roman"/>
                <w:sz w:val="20"/>
              </w:rPr>
            </w:pPr>
            <w:r>
              <w:rPr>
                <w:rFonts w:ascii="Times New Roman" w:hAnsi="Times New Roman"/>
                <w:sz w:val="20"/>
              </w:rPr>
              <w:t>Series D Warrants</w:t>
            </w:r>
          </w:p>
        </w:tc>
        <w:tc>
          <w:tcPr>
            <w:tcW w:w="3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8,063,998</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0.80</w:t>
            </w:r>
          </w:p>
        </w:tc>
        <w:tc>
          <w:tcPr>
            <w:tcW w:w="64" w:type="dxa"/>
            <w:tcBorders/>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5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11,444,579</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0.81</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9. Stock Compensation Plan </w:t>
      </w:r>
    </w:p>
    <w:p>
      <w:pPr>
        <w:pStyle w:val="TextBody"/>
        <w:bidi w:val="0"/>
        <w:spacing w:before="12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adopted the 2006 Plan in 2006 which provides for the issuance of common stock to employees, non-employee directors, and consultants. Recipients of incentive stock options are eligible to purchase common stock at an exercise price equal to no less than the estimated fair market value of such stock on the date of grant. The 2006 Plan provides for the grant of incentive stock options, non-statutory stock options, and stock purchase rights. The maximum contractual term of options granted under the 2006 Plan is ten years. The options generally vest 25% on the first anniversary of the grant date, with the balance vesting ratably over the following 36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2006 Plan and Grant of Stock Option Awards </w:t>
      </w:r>
    </w:p>
    <w:p>
      <w:pPr>
        <w:pStyle w:val="TextBody"/>
        <w:bidi w:val="0"/>
        <w:spacing w:before="120" w:after="0"/>
        <w:jc w:val="left"/>
        <w:rPr>
          <w:rFonts w:ascii="Times New Roman" w:hAnsi="Times New Roman"/>
          <w:sz w:val="20"/>
        </w:rPr>
      </w:pPr>
      <w:r>
        <w:rPr>
          <w:rFonts w:ascii="Times New Roman" w:hAnsi="Times New Roman"/>
          <w:sz w:val="20"/>
        </w:rPr>
        <w:t xml:space="preserve">On December 6, 2022, the Board of Directors approved an amendment to the 2006 Plan to increase the cumulative number of shares of the Companys common stock reserved for issuance there under by 180,245 shares and also approved the grant of stock options to purchase 180,245 shares of common stock under the 2006 Plan (the Closing Options). The grant of the Closing Options will be effective on and are conditioned upon the closing of the private placement. The Closing Options will have an exercise price equal to the fair market value of common stock as of the grant date, which will be the purchase price paid in the private placement. The Closing Options will vest monthly over four years with certain Closing Options subject to accelerated vesting upon a change of control. All Closing Options will have a term of ten years. In March 2023, the Company issued options to purchase 180,231 shares of common stock at an exercise price of $17.34 per share.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2022, 38,047 options remain available for future grant under the 2006 Plan. The following table summarizes stock option transactions for the 2006 Plan: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64"/>
        <w:gridCol w:w="268"/>
        <w:gridCol w:w="60"/>
        <w:gridCol w:w="800"/>
        <w:gridCol w:w="155"/>
        <w:gridCol w:w="242"/>
        <w:gridCol w:w="349"/>
        <w:gridCol w:w="1399"/>
        <w:gridCol w:w="60"/>
        <w:gridCol w:w="268"/>
        <w:gridCol w:w="151"/>
        <w:gridCol w:w="1120"/>
        <w:gridCol w:w="60"/>
        <w:gridCol w:w="268"/>
        <w:gridCol w:w="262"/>
        <w:gridCol w:w="1295"/>
        <w:gridCol w:w="67"/>
      </w:tblGrid>
      <w:tr>
        <w:trPr/>
        <w:tc>
          <w:tcPr>
            <w:tcW w:w="2564"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564"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Options</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748"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 Exercise</w:t>
            </w:r>
            <w:r>
              <w:rPr/>
              <w:br/>
            </w:r>
            <w:r>
              <w:rPr>
                <w:b/>
              </w:rPr>
              <w:t>Price</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w:t>
            </w:r>
            <w:r>
              <w:rPr/>
              <w:br/>
            </w:r>
            <w:r>
              <w:rPr>
                <w:b/>
              </w:rPr>
              <w:t>Remaining</w:t>
            </w:r>
            <w:r>
              <w:rPr/>
              <w:br/>
            </w:r>
            <w:r>
              <w:rPr>
                <w:b/>
              </w:rPr>
              <w:t>Contractual</w:t>
            </w:r>
            <w:r>
              <w:rPr/>
              <w:br/>
            </w:r>
            <w:r>
              <w:rPr>
                <w:b/>
              </w:rPr>
              <w:t>Term (years)</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557"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Intrinsic Value</w:t>
            </w:r>
            <w:r>
              <w:rPr/>
              <w:br/>
            </w:r>
            <w:r>
              <w:rPr>
                <w:b/>
              </w:rPr>
              <w:t>(in thousands)</w:t>
            </w:r>
          </w:p>
        </w:tc>
        <w:tc>
          <w:tcPr>
            <w:tcW w:w="67" w:type="dxa"/>
            <w:tcBorders/>
            <w:vAlign w:val="bottom"/>
          </w:tcPr>
          <w:p>
            <w:pPr>
              <w:pStyle w:val="TableContents"/>
              <w:bidi w:val="0"/>
              <w:spacing w:before="0" w:after="283"/>
              <w:jc w:val="left"/>
              <w:rPr/>
            </w:pPr>
            <w:r>
              <w:rPr/>
              <w:t> </w:t>
            </w:r>
          </w:p>
        </w:tc>
      </w:tr>
      <w:tr>
        <w:trPr/>
        <w:tc>
          <w:tcPr>
            <w:tcW w:w="2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2021</w:t>
            </w:r>
          </w:p>
        </w:tc>
        <w:tc>
          <w:tcPr>
            <w:tcW w:w="2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703,614</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w:t>
            </w:r>
          </w:p>
        </w:tc>
        <w:tc>
          <w:tcPr>
            <w:tcW w:w="1399" w:type="dxa"/>
            <w:tcBorders/>
            <w:shd w:fill="CCEEFF" w:val="clear"/>
            <w:vAlign w:val="bottom"/>
          </w:tcPr>
          <w:p>
            <w:pPr>
              <w:pStyle w:val="TableContents"/>
              <w:bidi w:val="0"/>
              <w:spacing w:before="0" w:after="283"/>
              <w:jc w:val="right"/>
              <w:rPr/>
            </w:pPr>
            <w:r>
              <w:rPr/>
              <w:t>6.60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8.08</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10,509</w:t>
            </w:r>
          </w:p>
        </w:tc>
        <w:tc>
          <w:tcPr>
            <w:tcW w:w="67" w:type="dxa"/>
            <w:tcBorders/>
            <w:shd w:fill="CCEEFF" w:val="clear"/>
            <w:vAlign w:val="bottom"/>
          </w:tcPr>
          <w:p>
            <w:pPr>
              <w:pStyle w:val="TableContents"/>
              <w:bidi w:val="0"/>
              <w:spacing w:before="0" w:after="283"/>
              <w:jc w:val="left"/>
              <w:rPr/>
            </w:pPr>
            <w:r>
              <w:rPr/>
              <w:t> </w:t>
            </w:r>
          </w:p>
        </w:tc>
      </w:tr>
      <w:tr>
        <w:trPr/>
        <w:tc>
          <w:tcPr>
            <w:tcW w:w="256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45,926</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13.19</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(4,500</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4.51</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564"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(5,529</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3.82</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564"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sz w:val="4"/>
                <w:szCs w:val="4"/>
              </w:rPr>
            </w:pPr>
            <w:r>
              <w:rPr>
                <w:sz w:val="4"/>
                <w:szCs w:val="4"/>
              </w:rPr>
            </w:r>
          </w:p>
        </w:tc>
        <w:tc>
          <w:tcPr>
            <w:tcW w:w="1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2022</w:t>
            </w:r>
          </w:p>
        </w:tc>
        <w:tc>
          <w:tcPr>
            <w:tcW w:w="2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739,511</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w:t>
            </w:r>
          </w:p>
        </w:tc>
        <w:tc>
          <w:tcPr>
            <w:tcW w:w="1399" w:type="dxa"/>
            <w:tcBorders/>
            <w:shd w:fill="CCEEFF" w:val="clear"/>
            <w:vAlign w:val="bottom"/>
          </w:tcPr>
          <w:p>
            <w:pPr>
              <w:pStyle w:val="TableContents"/>
              <w:bidi w:val="0"/>
              <w:spacing w:before="0" w:after="283"/>
              <w:jc w:val="right"/>
              <w:rPr/>
            </w:pPr>
            <w:r>
              <w:rPr/>
              <w:t>6.94</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7.36</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8,903</w:t>
            </w:r>
          </w:p>
        </w:tc>
        <w:tc>
          <w:tcPr>
            <w:tcW w:w="67" w:type="dxa"/>
            <w:tcBorders/>
            <w:shd w:fill="CCEEFF" w:val="clear"/>
            <w:vAlign w:val="bottom"/>
          </w:tcPr>
          <w:p>
            <w:pPr>
              <w:pStyle w:val="TableContents"/>
              <w:bidi w:val="0"/>
              <w:spacing w:before="0" w:after="283"/>
              <w:jc w:val="left"/>
              <w:rPr/>
            </w:pPr>
            <w:r>
              <w:rPr/>
              <w:t> </w:t>
            </w:r>
          </w:p>
        </w:tc>
      </w:tr>
      <w:tr>
        <w:trPr/>
        <w:tc>
          <w:tcPr>
            <w:tcW w:w="2564"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sz w:val="4"/>
                <w:szCs w:val="4"/>
              </w:rPr>
            </w:pPr>
            <w:r>
              <w:rPr>
                <w:sz w:val="4"/>
                <w:szCs w:val="4"/>
              </w:rPr>
            </w:r>
          </w:p>
        </w:tc>
        <w:tc>
          <w:tcPr>
            <w:tcW w:w="1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564"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exercisable at December 31, 2022</w:t>
            </w:r>
          </w:p>
        </w:tc>
        <w:tc>
          <w:tcPr>
            <w:tcW w:w="2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570,256</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w:t>
            </w:r>
          </w:p>
        </w:tc>
        <w:tc>
          <w:tcPr>
            <w:tcW w:w="1399" w:type="dxa"/>
            <w:tcBorders/>
            <w:vAlign w:val="bottom"/>
          </w:tcPr>
          <w:p>
            <w:pPr>
              <w:pStyle w:val="TableContents"/>
              <w:bidi w:val="0"/>
              <w:spacing w:before="0" w:after="283"/>
              <w:jc w:val="right"/>
              <w:rPr/>
            </w:pPr>
            <w:r>
              <w:rPr/>
              <w:t>6.60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7.31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7,153</w:t>
            </w:r>
          </w:p>
        </w:tc>
        <w:tc>
          <w:tcPr>
            <w:tcW w:w="67" w:type="dxa"/>
            <w:tcBorders/>
            <w:vAlign w:val="bottom"/>
          </w:tcPr>
          <w:p>
            <w:pPr>
              <w:pStyle w:val="TableContents"/>
              <w:bidi w:val="0"/>
              <w:spacing w:before="0" w:after="283"/>
              <w:jc w:val="left"/>
              <w:rPr/>
            </w:pPr>
            <w:r>
              <w:rPr/>
              <w:t> </w:t>
            </w:r>
          </w:p>
        </w:tc>
      </w:tr>
      <w:tr>
        <w:trPr/>
        <w:tc>
          <w:tcPr>
            <w:tcW w:w="2564"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sz w:val="4"/>
                <w:szCs w:val="4"/>
              </w:rPr>
            </w:pPr>
            <w:r>
              <w:rPr>
                <w:sz w:val="4"/>
                <w:szCs w:val="4"/>
              </w:rPr>
            </w:r>
          </w:p>
        </w:tc>
        <w:tc>
          <w:tcPr>
            <w:tcW w:w="1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total intrinsic value of options exercised during the year ended December 31, 2022 was $68,000. The weighted-average fair value of options granted during the years ended December 31, 2022 and 2021 was $12.85 and $10.771 per share, respectively. The total fair value of shares vested was $1.7 million and $2.5 million for the years ended December 31, 2022 and 2021,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stock-based compensation not yet recognized is $1.7 million, which is expected to be recognized over a weighted-average period of 1.9 years.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the ranges of underlying assumptions used in Black Scholes to determine the fair value of stock option grants for 2022 and 2021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04"/>
        <w:gridCol w:w="341"/>
        <w:gridCol w:w="98"/>
        <w:gridCol w:w="1900"/>
        <w:gridCol w:w="276"/>
        <w:gridCol w:w="258"/>
        <w:gridCol w:w="98"/>
        <w:gridCol w:w="1900"/>
        <w:gridCol w:w="280"/>
      </w:tblGrid>
      <w:tr>
        <w:trPr/>
        <w:tc>
          <w:tcPr>
            <w:tcW w:w="2604"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604"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98" w:type="dxa"/>
            <w:gridSpan w:val="2"/>
            <w:tcBorders>
              <w:bottom w:val="single" w:sz="8" w:space="0" w:color="000000"/>
            </w:tcBorders>
            <w:tcMar>
              <w:bottom w:w="28" w:type="dxa"/>
            </w:tcMar>
            <w:vAlign w:val="bottom"/>
          </w:tcPr>
          <w:p>
            <w:pPr>
              <w:pStyle w:val="TableContents"/>
              <w:bidi w:val="0"/>
              <w:spacing w:before="0" w:after="283"/>
              <w:jc w:val="center"/>
              <w:rPr/>
            </w:pPr>
            <w:r>
              <w:rPr>
                <w:b/>
              </w:rPr>
              <w:t>Years Ended</w:t>
            </w:r>
            <w:r>
              <w:rPr/>
              <w:br/>
            </w:r>
            <w:r>
              <w:rPr>
                <w:b/>
              </w:rPr>
              <w:t>December 31, 2022</w:t>
            </w:r>
          </w:p>
        </w:tc>
        <w:tc>
          <w:tcPr>
            <w:tcW w:w="276"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98" w:type="dxa"/>
            <w:gridSpan w:val="2"/>
            <w:tcBorders>
              <w:bottom w:val="single" w:sz="8" w:space="0" w:color="000000"/>
            </w:tcBorders>
            <w:tcMar>
              <w:bottom w:w="28" w:type="dxa"/>
            </w:tcMar>
            <w:vAlign w:val="bottom"/>
          </w:tcPr>
          <w:p>
            <w:pPr>
              <w:pStyle w:val="TableContents"/>
              <w:bidi w:val="0"/>
              <w:spacing w:before="0" w:after="283"/>
              <w:jc w:val="center"/>
              <w:rPr/>
            </w:pPr>
            <w:r>
              <w:rPr>
                <w:b/>
              </w:rPr>
              <w:t>Years Ended</w:t>
            </w:r>
            <w:r>
              <w:rPr/>
              <w:br/>
            </w:r>
            <w:r>
              <w:rPr>
                <w:b/>
              </w:rPr>
              <w:t>December 31, 2021</w:t>
            </w:r>
          </w:p>
        </w:tc>
        <w:tc>
          <w:tcPr>
            <w:tcW w:w="280" w:type="dxa"/>
            <w:tcBorders/>
            <w:vAlign w:val="bottom"/>
          </w:tcPr>
          <w:p>
            <w:pPr>
              <w:pStyle w:val="TableContents"/>
              <w:bidi w:val="0"/>
              <w:spacing w:before="0" w:after="283"/>
              <w:jc w:val="left"/>
              <w:rPr/>
            </w:pPr>
            <w:r>
              <w:rPr/>
              <w:t> </w:t>
            </w:r>
          </w:p>
        </w:tc>
      </w:tr>
      <w:tr>
        <w:trPr/>
        <w:tc>
          <w:tcPr>
            <w:tcW w:w="2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 free interest rate</w:t>
            </w:r>
          </w:p>
        </w:tc>
        <w:tc>
          <w:tcPr>
            <w:tcW w:w="34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900" w:type="dxa"/>
            <w:tcBorders/>
            <w:shd w:fill="CCEEFF" w:val="clear"/>
            <w:vAlign w:val="bottom"/>
          </w:tcPr>
          <w:p>
            <w:pPr>
              <w:pStyle w:val="TableContents"/>
              <w:bidi w:val="0"/>
              <w:spacing w:before="0" w:after="283"/>
              <w:jc w:val="right"/>
              <w:rPr/>
            </w:pPr>
            <w:r>
              <w:rPr/>
              <w:t>2.80%-3.28</w:t>
            </w:r>
          </w:p>
        </w:tc>
        <w:tc>
          <w:tcPr>
            <w:tcW w:w="27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900" w:type="dxa"/>
            <w:tcBorders/>
            <w:shd w:fill="CCEEFF" w:val="clear"/>
            <w:vAlign w:val="bottom"/>
          </w:tcPr>
          <w:p>
            <w:pPr>
              <w:pStyle w:val="TableContents"/>
              <w:bidi w:val="0"/>
              <w:spacing w:before="0" w:after="283"/>
              <w:jc w:val="right"/>
              <w:rPr/>
            </w:pPr>
            <w:r>
              <w:rPr/>
              <w:t>0.43%-1.34</w:t>
            </w:r>
          </w:p>
        </w:tc>
        <w:tc>
          <w:tcPr>
            <w:tcW w:w="280" w:type="dxa"/>
            <w:tcBorders/>
            <w:shd w:fill="CCEEFF" w:val="clear"/>
            <w:vAlign w:val="bottom"/>
          </w:tcPr>
          <w:p>
            <w:pPr>
              <w:pStyle w:val="TableContents"/>
              <w:bidi w:val="0"/>
              <w:spacing w:before="0" w:after="283"/>
              <w:jc w:val="left"/>
              <w:rPr/>
            </w:pPr>
            <w:r>
              <w:rPr/>
              <w:t>% </w:t>
            </w:r>
          </w:p>
        </w:tc>
      </w:tr>
      <w:tr>
        <w:trPr/>
        <w:tc>
          <w:tcPr>
            <w:tcW w:w="2604"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4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900" w:type="dxa"/>
            <w:tcBorders/>
            <w:vAlign w:val="bottom"/>
          </w:tcPr>
          <w:p>
            <w:pPr>
              <w:pStyle w:val="TableContents"/>
              <w:bidi w:val="0"/>
              <w:spacing w:before="0" w:after="283"/>
              <w:jc w:val="right"/>
              <w:rPr/>
            </w:pPr>
            <w:r>
              <w:rPr/>
              <w:t>82</w:t>
            </w:r>
          </w:p>
        </w:tc>
        <w:tc>
          <w:tcPr>
            <w:tcW w:w="276"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900" w:type="dxa"/>
            <w:tcBorders/>
            <w:vAlign w:val="bottom"/>
          </w:tcPr>
          <w:p>
            <w:pPr>
              <w:pStyle w:val="TableContents"/>
              <w:bidi w:val="0"/>
              <w:spacing w:before="0" w:after="283"/>
              <w:jc w:val="right"/>
              <w:rPr/>
            </w:pPr>
            <w:r>
              <w:rPr/>
              <w:t>76%-83</w:t>
            </w:r>
          </w:p>
        </w:tc>
        <w:tc>
          <w:tcPr>
            <w:tcW w:w="280" w:type="dxa"/>
            <w:tcBorders/>
            <w:vAlign w:val="bottom"/>
          </w:tcPr>
          <w:p>
            <w:pPr>
              <w:pStyle w:val="TableContents"/>
              <w:bidi w:val="0"/>
              <w:spacing w:before="0" w:after="283"/>
              <w:jc w:val="left"/>
              <w:rPr/>
            </w:pPr>
            <w:r>
              <w:rPr/>
              <w:t>% </w:t>
            </w:r>
          </w:p>
        </w:tc>
      </w:tr>
      <w:tr>
        <w:trPr/>
        <w:tc>
          <w:tcPr>
            <w:tcW w:w="2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34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900" w:type="dxa"/>
            <w:tcBorders/>
            <w:shd w:fill="CCEEFF" w:val="clear"/>
            <w:vAlign w:val="bottom"/>
          </w:tcPr>
          <w:p>
            <w:pPr>
              <w:pStyle w:val="TableContents"/>
              <w:bidi w:val="0"/>
              <w:spacing w:before="0" w:after="283"/>
              <w:jc w:val="right"/>
              <w:rPr/>
            </w:pPr>
            <w:r>
              <w:rPr/>
              <w:t>5.00-6.25</w:t>
            </w:r>
          </w:p>
        </w:tc>
        <w:tc>
          <w:tcPr>
            <w:tcW w:w="27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900" w:type="dxa"/>
            <w:tcBorders/>
            <w:shd w:fill="CCEEFF" w:val="clear"/>
            <w:vAlign w:val="bottom"/>
          </w:tcPr>
          <w:p>
            <w:pPr>
              <w:pStyle w:val="TableContents"/>
              <w:bidi w:val="0"/>
              <w:spacing w:before="0" w:after="283"/>
              <w:jc w:val="right"/>
              <w:rPr/>
            </w:pPr>
            <w:r>
              <w:rPr/>
              <w:t>5.00-6.25</w:t>
            </w:r>
          </w:p>
        </w:tc>
        <w:tc>
          <w:tcPr>
            <w:tcW w:w="280" w:type="dxa"/>
            <w:tcBorders/>
            <w:shd w:fill="CCEEFF" w:val="clear"/>
            <w:vAlign w:val="bottom"/>
          </w:tcPr>
          <w:p>
            <w:pPr>
              <w:pStyle w:val="TableContents"/>
              <w:bidi w:val="0"/>
              <w:spacing w:before="0" w:after="283"/>
              <w:jc w:val="left"/>
              <w:rPr/>
            </w:pPr>
            <w:r>
              <w:rPr/>
              <w:t> </w:t>
            </w:r>
          </w:p>
        </w:tc>
      </w:tr>
      <w:tr>
        <w:trPr/>
        <w:tc>
          <w:tcPr>
            <w:tcW w:w="2604"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4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900" w:type="dxa"/>
            <w:tcBorders/>
            <w:vAlign w:val="bottom"/>
          </w:tcPr>
          <w:p>
            <w:pPr>
              <w:pStyle w:val="TableContents"/>
              <w:bidi w:val="0"/>
              <w:spacing w:before="0" w:after="283"/>
              <w:jc w:val="right"/>
              <w:rPr/>
            </w:pPr>
            <w:r>
              <w:rPr/>
              <w:t>0</w:t>
            </w:r>
          </w:p>
        </w:tc>
        <w:tc>
          <w:tcPr>
            <w:tcW w:w="276"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900" w:type="dxa"/>
            <w:tcBorders/>
            <w:vAlign w:val="bottom"/>
          </w:tcPr>
          <w:p>
            <w:pPr>
              <w:pStyle w:val="TableContents"/>
              <w:bidi w:val="0"/>
              <w:spacing w:before="0" w:after="283"/>
              <w:jc w:val="right"/>
              <w:rPr/>
            </w:pPr>
            <w:r>
              <w:rPr/>
              <w:t>0</w:t>
            </w:r>
          </w:p>
        </w:tc>
        <w:tc>
          <w:tcPr>
            <w:tcW w:w="28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for all stock awards recognized in the accompanying statements of operations and comprehensive loss and statements of convertible preferred stock and stockholders deficit are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03"/>
        <w:gridCol w:w="314"/>
        <w:gridCol w:w="140"/>
        <w:gridCol w:w="561"/>
        <w:gridCol w:w="60"/>
        <w:gridCol w:w="314"/>
        <w:gridCol w:w="140"/>
        <w:gridCol w:w="561"/>
        <w:gridCol w:w="62"/>
      </w:tblGrid>
      <w:tr>
        <w:trPr/>
        <w:tc>
          <w:tcPr>
            <w:tcW w:w="5603"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03"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776" w:type="dxa"/>
            <w:gridSpan w:val="6"/>
            <w:tcBorders>
              <w:bottom w:val="single" w:sz="8" w:space="0" w:color="000000"/>
            </w:tcBorders>
            <w:tcMar>
              <w:bottom w:w="28" w:type="dxa"/>
            </w:tcMar>
            <w:vAlign w:val="bottom"/>
          </w:tcPr>
          <w:p>
            <w:pPr>
              <w:pStyle w:val="TableContents"/>
              <w:bidi w:val="0"/>
              <w:spacing w:before="0" w:after="283"/>
              <w:jc w:val="center"/>
              <w:rPr/>
            </w:pPr>
            <w:r>
              <w:rPr>
                <w:b/>
              </w:rPr>
              <w:t>Years Ended</w:t>
            </w:r>
            <w:r>
              <w:rPr/>
              <w:br/>
            </w:r>
            <w:r>
              <w:rPr>
                <w:b/>
              </w:rPr>
              <w:t>December 31,</w:t>
            </w:r>
          </w:p>
        </w:tc>
        <w:tc>
          <w:tcPr>
            <w:tcW w:w="62" w:type="dxa"/>
            <w:tcBorders/>
            <w:vAlign w:val="bottom"/>
          </w:tcPr>
          <w:p>
            <w:pPr>
              <w:pStyle w:val="TableContents"/>
              <w:bidi w:val="0"/>
              <w:spacing w:before="0" w:after="283"/>
              <w:jc w:val="left"/>
              <w:rPr/>
            </w:pPr>
            <w:r>
              <w:rPr/>
              <w:t> </w:t>
            </w:r>
          </w:p>
        </w:tc>
      </w:tr>
      <w:tr>
        <w:trPr/>
        <w:tc>
          <w:tcPr>
            <w:tcW w:w="5603"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2" w:type="dxa"/>
            <w:tcBorders/>
            <w:vAlign w:val="bottom"/>
          </w:tcPr>
          <w:p>
            <w:pPr>
              <w:pStyle w:val="TableContents"/>
              <w:bidi w:val="0"/>
              <w:spacing w:before="0" w:after="283"/>
              <w:jc w:val="left"/>
              <w:rPr/>
            </w:pPr>
            <w:r>
              <w:rPr/>
              <w:t> </w:t>
            </w:r>
          </w:p>
        </w:tc>
      </w:tr>
      <w:tr>
        <w:trPr/>
        <w:tc>
          <w:tcPr>
            <w:tcW w:w="5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Statements of operations and comprehensive loss</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60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499</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441</w:t>
            </w:r>
          </w:p>
        </w:tc>
        <w:tc>
          <w:tcPr>
            <w:tcW w:w="62" w:type="dxa"/>
            <w:tcBorders/>
            <w:vAlign w:val="bottom"/>
          </w:tcPr>
          <w:p>
            <w:pPr>
              <w:pStyle w:val="TableContents"/>
              <w:bidi w:val="0"/>
              <w:spacing w:before="0" w:after="283"/>
              <w:jc w:val="left"/>
              <w:rPr/>
            </w:pPr>
            <w:r>
              <w:rPr/>
              <w:t> </w:t>
            </w:r>
          </w:p>
        </w:tc>
      </w:tr>
      <w:tr>
        <w:trPr/>
        <w:tc>
          <w:tcPr>
            <w:tcW w:w="5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902</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1,104</w:t>
            </w:r>
          </w:p>
        </w:tc>
        <w:tc>
          <w:tcPr>
            <w:tcW w:w="62" w:type="dxa"/>
            <w:tcBorders/>
            <w:shd w:fill="CCEEFF" w:val="clear"/>
            <w:vAlign w:val="bottom"/>
          </w:tcPr>
          <w:p>
            <w:pPr>
              <w:pStyle w:val="TableContents"/>
              <w:bidi w:val="0"/>
              <w:spacing w:before="0" w:after="283"/>
              <w:jc w:val="left"/>
              <w:rPr/>
            </w:pPr>
            <w:r>
              <w:rPr/>
              <w:t> </w:t>
            </w:r>
          </w:p>
        </w:tc>
      </w:tr>
      <w:tr>
        <w:trPr/>
        <w:tc>
          <w:tcPr>
            <w:tcW w:w="560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0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1,401</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1,545</w:t>
            </w:r>
          </w:p>
        </w:tc>
        <w:tc>
          <w:tcPr>
            <w:tcW w:w="62" w:type="dxa"/>
            <w:tcBorders/>
            <w:vAlign w:val="bottom"/>
          </w:tcPr>
          <w:p>
            <w:pPr>
              <w:pStyle w:val="TableContents"/>
              <w:bidi w:val="0"/>
              <w:spacing w:before="0" w:after="283"/>
              <w:jc w:val="left"/>
              <w:rPr/>
            </w:pPr>
            <w:r>
              <w:rPr/>
              <w:t> </w:t>
            </w:r>
          </w:p>
        </w:tc>
      </w:tr>
      <w:tr>
        <w:trPr/>
        <w:tc>
          <w:tcPr>
            <w:tcW w:w="5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Statements of convertible preferred stock and stockholders deficit</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603"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fully vested options as payment for accrued employee compensation</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406</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567</w:t>
            </w:r>
          </w:p>
        </w:tc>
        <w:tc>
          <w:tcPr>
            <w:tcW w:w="62" w:type="dxa"/>
            <w:tcBorders/>
            <w:vAlign w:val="bottom"/>
          </w:tcPr>
          <w:p>
            <w:pPr>
              <w:pStyle w:val="TableContents"/>
              <w:bidi w:val="0"/>
              <w:spacing w:before="0" w:after="283"/>
              <w:jc w:val="left"/>
              <w:rPr/>
            </w:pPr>
            <w:r>
              <w:rPr/>
              <w:t> </w:t>
            </w:r>
          </w:p>
        </w:tc>
      </w:tr>
      <w:tr>
        <w:trPr/>
        <w:tc>
          <w:tcPr>
            <w:tcW w:w="560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1,807</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2,112</w:t>
            </w:r>
          </w:p>
        </w:tc>
        <w:tc>
          <w:tcPr>
            <w:tcW w:w="62" w:type="dxa"/>
            <w:tcBorders/>
            <w:shd w:fill="CCEEFF" w:val="clear"/>
            <w:vAlign w:val="bottom"/>
          </w:tcPr>
          <w:p>
            <w:pPr>
              <w:pStyle w:val="TableContents"/>
              <w:bidi w:val="0"/>
              <w:spacing w:before="0" w:after="283"/>
              <w:jc w:val="left"/>
              <w:rPr/>
            </w:pPr>
            <w:r>
              <w:rPr/>
              <w:t> </w:t>
            </w:r>
          </w:p>
        </w:tc>
      </w:tr>
      <w:tr>
        <w:trPr/>
        <w:tc>
          <w:tcPr>
            <w:tcW w:w="560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2020, the Company had accrued bonuses of $567,000 payable in cash related to services performed in 2020. In April 2021, the Board of Directors determined to satisfy this payable by issuing options to purchase shares of common stock. The employees were issued fully vested stock options to purchase common stock at an exercise price of $7.99 per share and a stock option fair value of $9.73 per share. The total fair value of the stock options was $802,000, which was recorded to equity in 2021. The Company expensed $235,000 as stock compensation expense in the year ended December 31, 2021, which represents the difference between the amount accrued as of December 31, 2020 and the fair value of stock options. </w:t>
      </w:r>
    </w:p>
    <w:p>
      <w:pPr>
        <w:pStyle w:val="TextBody"/>
        <w:bidi w:val="0"/>
        <w:spacing w:before="240" w:after="0"/>
        <w:jc w:val="left"/>
        <w:rPr>
          <w:rFonts w:ascii="Times New Roman" w:hAnsi="Times New Roman"/>
          <w:sz w:val="20"/>
        </w:rPr>
      </w:pPr>
      <w:r>
        <w:rPr>
          <w:rFonts w:ascii="Times New Roman" w:hAnsi="Times New Roman"/>
          <w:sz w:val="20"/>
        </w:rPr>
        <w:t xml:space="preserve">In August 2022, the Board of Directors determined to satisfy $830,000 of employee compensation accrued by issuing options to purchase shares of common stock. The employees were issued stock options to purchase common stock at an exercise price of $10.42 per share and a stock option fair value of $12.16 per share, all of which vested in 2022. The total fair value of these options at the date of grant is $406,000.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Reserved for Future Issuance </w:t>
      </w:r>
    </w:p>
    <w:p>
      <w:pPr>
        <w:pStyle w:val="TextBody"/>
        <w:bidi w:val="0"/>
        <w:spacing w:before="120" w:after="0"/>
        <w:jc w:val="left"/>
        <w:rPr>
          <w:rFonts w:ascii="Times New Roman" w:hAnsi="Times New Roman"/>
          <w:sz w:val="20"/>
        </w:rPr>
      </w:pPr>
      <w:r>
        <w:rPr>
          <w:rFonts w:ascii="Times New Roman" w:hAnsi="Times New Roman"/>
          <w:sz w:val="20"/>
        </w:rPr>
        <w:t xml:space="preserve">Common stock reserved for future issuance consists of the following at December 31, 2022: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54"/>
        <w:gridCol w:w="174"/>
        <w:gridCol w:w="60"/>
        <w:gridCol w:w="988"/>
        <w:gridCol w:w="63"/>
      </w:tblGrid>
      <w:tr>
        <w:trPr/>
        <w:tc>
          <w:tcPr>
            <w:tcW w:w="5654"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convertible preferred stock</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2,442,852</w:t>
            </w:r>
          </w:p>
        </w:tc>
        <w:tc>
          <w:tcPr>
            <w:tcW w:w="63" w:type="dxa"/>
            <w:tcBorders/>
            <w:shd w:fill="CCEEFF" w:val="clear"/>
            <w:vAlign w:val="bottom"/>
          </w:tcPr>
          <w:p>
            <w:pPr>
              <w:pStyle w:val="TableContents"/>
              <w:bidi w:val="0"/>
              <w:spacing w:before="0" w:after="283"/>
              <w:jc w:val="left"/>
              <w:rPr/>
            </w:pPr>
            <w:r>
              <w:rPr/>
              <w:t> </w:t>
            </w:r>
          </w:p>
        </w:tc>
      </w:tr>
      <w:tr>
        <w:trPr/>
        <w:tc>
          <w:tcPr>
            <w:tcW w:w="5654"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warrants</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328,876</w:t>
            </w:r>
          </w:p>
        </w:tc>
        <w:tc>
          <w:tcPr>
            <w:tcW w:w="63" w:type="dxa"/>
            <w:tcBorders/>
            <w:vAlign w:val="bottom"/>
          </w:tcPr>
          <w:p>
            <w:pPr>
              <w:pStyle w:val="TableContents"/>
              <w:bidi w:val="0"/>
              <w:spacing w:before="0" w:after="283"/>
              <w:jc w:val="left"/>
              <w:rPr/>
            </w:pPr>
            <w:r>
              <w:rPr/>
              <w:t> </w:t>
            </w:r>
          </w:p>
        </w:tc>
      </w:tr>
      <w:tr>
        <w:trPr/>
        <w:tc>
          <w:tcPr>
            <w:tcW w:w="56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25,833</w:t>
            </w:r>
          </w:p>
        </w:tc>
        <w:tc>
          <w:tcPr>
            <w:tcW w:w="63" w:type="dxa"/>
            <w:tcBorders/>
            <w:shd w:fill="CCEEFF" w:val="clear"/>
            <w:vAlign w:val="bottom"/>
          </w:tcPr>
          <w:p>
            <w:pPr>
              <w:pStyle w:val="TableContents"/>
              <w:bidi w:val="0"/>
              <w:spacing w:before="0" w:after="283"/>
              <w:jc w:val="left"/>
              <w:rPr/>
            </w:pPr>
            <w:r>
              <w:rPr/>
              <w:t> </w:t>
            </w:r>
          </w:p>
        </w:tc>
      </w:tr>
      <w:tr>
        <w:trPr/>
        <w:tc>
          <w:tcPr>
            <w:tcW w:w="5654"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issued and outstanding</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739,511</w:t>
            </w:r>
          </w:p>
        </w:tc>
        <w:tc>
          <w:tcPr>
            <w:tcW w:w="63" w:type="dxa"/>
            <w:tcBorders/>
            <w:vAlign w:val="bottom"/>
          </w:tcPr>
          <w:p>
            <w:pPr>
              <w:pStyle w:val="TableContents"/>
              <w:bidi w:val="0"/>
              <w:spacing w:before="0" w:after="283"/>
              <w:jc w:val="left"/>
              <w:rPr/>
            </w:pPr>
            <w:r>
              <w:rPr/>
              <w:t> </w:t>
            </w:r>
          </w:p>
        </w:tc>
      </w:tr>
      <w:tr>
        <w:trPr/>
        <w:tc>
          <w:tcPr>
            <w:tcW w:w="56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available for issuance under the 2006 Plan</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38,047</w:t>
            </w:r>
          </w:p>
        </w:tc>
        <w:tc>
          <w:tcPr>
            <w:tcW w:w="63" w:type="dxa"/>
            <w:tcBorders/>
            <w:shd w:fill="CCEEFF" w:val="clear"/>
            <w:vAlign w:val="bottom"/>
          </w:tcPr>
          <w:p>
            <w:pPr>
              <w:pStyle w:val="TableContents"/>
              <w:bidi w:val="0"/>
              <w:spacing w:before="0" w:after="283"/>
              <w:jc w:val="left"/>
              <w:rPr/>
            </w:pPr>
            <w:r>
              <w:rPr/>
              <w:t> </w:t>
            </w:r>
          </w:p>
        </w:tc>
      </w:tr>
      <w:tr>
        <w:trPr/>
        <w:tc>
          <w:tcPr>
            <w:tcW w:w="5654"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54" w:type="dxa"/>
            <w:tcBorders/>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3,575,119</w:t>
            </w:r>
          </w:p>
        </w:tc>
        <w:tc>
          <w:tcPr>
            <w:tcW w:w="63" w:type="dxa"/>
            <w:tcBorders/>
            <w:vAlign w:val="bottom"/>
          </w:tcPr>
          <w:p>
            <w:pPr>
              <w:pStyle w:val="TableContents"/>
              <w:bidi w:val="0"/>
              <w:spacing w:before="0" w:after="283"/>
              <w:jc w:val="left"/>
              <w:rPr/>
            </w:pPr>
            <w:r>
              <w:rPr/>
              <w:t> </w:t>
            </w:r>
          </w:p>
        </w:tc>
      </w:tr>
      <w:tr>
        <w:trPr/>
        <w:tc>
          <w:tcPr>
            <w:tcW w:w="5654"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10.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2020, the Company entered into a lease for manufacturing equipment utilized in the production of development candidates. The lease is accounted for as an operating lease. The Company also has an operating lease for office space in La Jolla, California. In August 2022, an extension was executed for a month-to-month term exclusively for laboratory space and therefore qualifies for the short-term lease exception. Base rent for this lease is $1,000 monthly. </w:t>
      </w:r>
    </w:p>
    <w:p>
      <w:pPr>
        <w:pStyle w:val="TextBody"/>
        <w:bidi w:val="0"/>
        <w:spacing w:before="240" w:after="0"/>
        <w:jc w:val="left"/>
        <w:rPr>
          <w:rFonts w:ascii="Times New Roman" w:hAnsi="Times New Roman"/>
          <w:sz w:val="20"/>
        </w:rPr>
      </w:pPr>
      <w:r>
        <w:rPr>
          <w:rFonts w:ascii="Times New Roman" w:hAnsi="Times New Roman"/>
          <w:sz w:val="20"/>
        </w:rPr>
        <w:t xml:space="preserve">Rent expense for the years ended December 31, 2022 and 2021 was $221,000 and $256,000, respectively, which is included in operating expenses. The lease obligation is included in other current and long-term liabilities in the Companys balance sheet. </w:t>
      </w:r>
    </w:p>
    <w:p>
      <w:pPr>
        <w:pStyle w:val="TextBody"/>
        <w:bidi w:val="0"/>
        <w:spacing w:before="240" w:after="0"/>
        <w:jc w:val="left"/>
        <w:rPr>
          <w:rFonts w:ascii="Times New Roman" w:hAnsi="Times New Roman"/>
          <w:sz w:val="20"/>
        </w:rPr>
      </w:pPr>
      <w:r>
        <w:rPr>
          <w:rFonts w:ascii="Times New Roman" w:hAnsi="Times New Roman"/>
          <w:sz w:val="20"/>
        </w:rPr>
        <w:t xml:space="preserve">Future lease payments under noncancelable leases are as follows at December 31, 2022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6086"/>
        <w:gridCol w:w="383"/>
        <w:gridCol w:w="140"/>
        <w:gridCol w:w="268"/>
        <w:gridCol w:w="62"/>
      </w:tblGrid>
      <w:tr>
        <w:trPr/>
        <w:tc>
          <w:tcPr>
            <w:tcW w:w="6086"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0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2023 lease payments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68" w:type="dxa"/>
            <w:tcBorders/>
            <w:shd w:fill="CCEEFF" w:val="clear"/>
            <w:vAlign w:val="bottom"/>
          </w:tcPr>
          <w:p>
            <w:pPr>
              <w:pStyle w:val="TableContents"/>
              <w:bidi w:val="0"/>
              <w:spacing w:before="0" w:after="283"/>
              <w:jc w:val="right"/>
              <w:rPr/>
            </w:pPr>
            <w:r>
              <w:rPr/>
              <w:t>55</w:t>
            </w:r>
          </w:p>
        </w:tc>
        <w:tc>
          <w:tcPr>
            <w:tcW w:w="62" w:type="dxa"/>
            <w:tcBorders/>
            <w:shd w:fill="CCEEFF" w:val="clear"/>
            <w:vAlign w:val="bottom"/>
          </w:tcPr>
          <w:p>
            <w:pPr>
              <w:pStyle w:val="TableContents"/>
              <w:bidi w:val="0"/>
              <w:spacing w:before="0" w:after="283"/>
              <w:jc w:val="left"/>
              <w:rPr/>
            </w:pPr>
            <w:r>
              <w:rPr/>
              <w:t> </w:t>
            </w:r>
          </w:p>
        </w:tc>
      </w:tr>
      <w:tr>
        <w:trPr/>
        <w:tc>
          <w:tcPr>
            <w:tcW w:w="6086"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608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6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0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lease obligations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68" w:type="dxa"/>
            <w:tcBorders/>
            <w:shd w:fill="CCEEFF" w:val="clear"/>
            <w:vAlign w:val="bottom"/>
          </w:tcPr>
          <w:p>
            <w:pPr>
              <w:pStyle w:val="TableContents"/>
              <w:bidi w:val="0"/>
              <w:spacing w:before="0" w:after="283"/>
              <w:jc w:val="right"/>
              <w:rPr/>
            </w:pPr>
            <w:r>
              <w:rPr/>
              <w:t>54</w:t>
            </w:r>
          </w:p>
        </w:tc>
        <w:tc>
          <w:tcPr>
            <w:tcW w:w="62" w:type="dxa"/>
            <w:tcBorders/>
            <w:shd w:fill="CCEEFF" w:val="clear"/>
            <w:vAlign w:val="bottom"/>
          </w:tcPr>
          <w:p>
            <w:pPr>
              <w:pStyle w:val="TableContents"/>
              <w:bidi w:val="0"/>
              <w:spacing w:before="0" w:after="283"/>
              <w:jc w:val="left"/>
              <w:rPr/>
            </w:pPr>
            <w:r>
              <w:rPr/>
              <w:t> </w:t>
            </w:r>
          </w:p>
        </w:tc>
      </w:tr>
      <w:tr>
        <w:trPr/>
        <w:tc>
          <w:tcPr>
            <w:tcW w:w="608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6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have certain contingent liabilities that arise in the ordinary course of its business activities. The Company accrues liabilities for such matters when future expenditures are probable and such expenditures can be reasonably estimated. The Company is not currently involved with, and does not know of any, pending or threatened litigation against the Company or any of its officers.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11. Net Loss Per Share Attributable to Common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computation of basic and diluted net loss per share attributable to common stockholders (in thousands except share and per share amounts):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04"/>
        <w:gridCol w:w="272"/>
        <w:gridCol w:w="182"/>
        <w:gridCol w:w="997"/>
        <w:gridCol w:w="202"/>
        <w:gridCol w:w="256"/>
        <w:gridCol w:w="182"/>
        <w:gridCol w:w="1000"/>
        <w:gridCol w:w="160"/>
      </w:tblGrid>
      <w:tr>
        <w:trPr/>
        <w:tc>
          <w:tcPr>
            <w:tcW w:w="4504"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8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60" w:type="dxa"/>
            <w:tcBorders/>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02"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79"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w:t>
            </w:r>
          </w:p>
          <w:p>
            <w:pPr>
              <w:pStyle w:val="TableContents"/>
              <w:bidi w:val="0"/>
              <w:spacing w:before="0" w:after="20"/>
              <w:jc w:val="center"/>
              <w:rPr>
                <w:rFonts w:ascii="Times New Roman" w:hAnsi="Times New Roman"/>
                <w:sz w:val="16"/>
              </w:rPr>
            </w:pPr>
            <w:r>
              <w:rPr>
                <w:rFonts w:ascii="Times New Roman" w:hAnsi="Times New Roman"/>
                <w:sz w:val="16"/>
              </w:rPr>
              <w:t>Restated)</w:t>
            </w:r>
          </w:p>
        </w:tc>
        <w:tc>
          <w:tcPr>
            <w:tcW w:w="202"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82"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27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256"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27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(7,824</w:t>
            </w:r>
          </w:p>
        </w:tc>
        <w:tc>
          <w:tcPr>
            <w:tcW w:w="202"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000" w:type="dxa"/>
            <w:tcBorders/>
            <w:vAlign w:val="bottom"/>
          </w:tcPr>
          <w:p>
            <w:pPr>
              <w:pStyle w:val="TableContents"/>
              <w:bidi w:val="0"/>
              <w:spacing w:before="0" w:after="283"/>
              <w:jc w:val="right"/>
              <w:rPr/>
            </w:pPr>
            <w:r>
              <w:rPr/>
              <w:t>(23,501</w:t>
            </w:r>
          </w:p>
        </w:tc>
        <w:tc>
          <w:tcPr>
            <w:tcW w:w="160" w:type="dxa"/>
            <w:tcBorders/>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Deemed distribution to convertible promissory note holders</w:t>
            </w:r>
          </w:p>
        </w:tc>
        <w:tc>
          <w:tcPr>
            <w:tcW w:w="27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(1,318</w:t>
            </w:r>
          </w:p>
        </w:tc>
        <w:tc>
          <w:tcPr>
            <w:tcW w:w="202"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 attributable to common stockholders</w:t>
            </w:r>
          </w:p>
        </w:tc>
        <w:tc>
          <w:tcPr>
            <w:tcW w:w="27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(9,142</w:t>
            </w:r>
          </w:p>
        </w:tc>
        <w:tc>
          <w:tcPr>
            <w:tcW w:w="202"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27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256"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stock outstanding, basic and diluted</w:t>
            </w:r>
          </w:p>
        </w:tc>
        <w:tc>
          <w:tcPr>
            <w:tcW w:w="27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82,245</w:t>
            </w:r>
          </w:p>
        </w:tc>
        <w:tc>
          <w:tcPr>
            <w:tcW w:w="202"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78,222</w:t>
            </w:r>
          </w:p>
        </w:tc>
        <w:tc>
          <w:tcPr>
            <w:tcW w:w="160" w:type="dxa"/>
            <w:tcBorders/>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27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(111.16</w:t>
            </w:r>
          </w:p>
        </w:tc>
        <w:tc>
          <w:tcPr>
            <w:tcW w:w="202"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(300.44</w:t>
            </w:r>
          </w:p>
        </w:tc>
        <w:tc>
          <w:tcPr>
            <w:tcW w:w="160" w:type="dxa"/>
            <w:tcBorders/>
            <w:shd w:fill="CCEEFF" w:val="clear"/>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Common stock equivalents from potentially dilutive securities that are not included in the calculation of diluted net loss per share attributable to common stockholders, because to do so would be anti-dilutive,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87"/>
        <w:gridCol w:w="182"/>
        <w:gridCol w:w="60"/>
        <w:gridCol w:w="980"/>
        <w:gridCol w:w="60"/>
        <w:gridCol w:w="182"/>
        <w:gridCol w:w="60"/>
        <w:gridCol w:w="980"/>
        <w:gridCol w:w="64"/>
      </w:tblGrid>
      <w:tr>
        <w:trPr/>
        <w:tc>
          <w:tcPr>
            <w:tcW w:w="5187"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8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3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4" w:type="dxa"/>
            <w:tcBorders/>
            <w:vAlign w:val="bottom"/>
          </w:tcPr>
          <w:p>
            <w:pPr>
              <w:pStyle w:val="TableContents"/>
              <w:bidi w:val="0"/>
              <w:spacing w:before="0" w:after="283"/>
              <w:jc w:val="left"/>
              <w:rPr/>
            </w:pPr>
            <w:r>
              <w:rPr/>
              <w:t> </w:t>
            </w:r>
          </w:p>
        </w:tc>
      </w:tr>
      <w:tr>
        <w:trPr/>
        <w:tc>
          <w:tcPr>
            <w:tcW w:w="518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4" w:type="dxa"/>
            <w:tcBorders/>
            <w:vAlign w:val="bottom"/>
          </w:tcPr>
          <w:p>
            <w:pPr>
              <w:pStyle w:val="TableContents"/>
              <w:bidi w:val="0"/>
              <w:spacing w:before="0" w:after="283"/>
              <w:jc w:val="left"/>
              <w:rPr/>
            </w:pPr>
            <w:r>
              <w:rPr/>
              <w:t> </w:t>
            </w:r>
          </w:p>
        </w:tc>
      </w:tr>
      <w:tr>
        <w:trPr/>
        <w:tc>
          <w:tcPr>
            <w:tcW w:w="5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2,442,852</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2,442,852</w:t>
            </w:r>
          </w:p>
        </w:tc>
        <w:tc>
          <w:tcPr>
            <w:tcW w:w="64" w:type="dxa"/>
            <w:tcBorders/>
            <w:shd w:fill="CCEEFF" w:val="clear"/>
            <w:vAlign w:val="bottom"/>
          </w:tcPr>
          <w:p>
            <w:pPr>
              <w:pStyle w:val="TableContents"/>
              <w:bidi w:val="0"/>
              <w:spacing w:before="0" w:after="283"/>
              <w:jc w:val="left"/>
              <w:rPr/>
            </w:pPr>
            <w:r>
              <w:rPr/>
              <w:t> </w:t>
            </w:r>
          </w:p>
        </w:tc>
      </w:tr>
      <w:tr>
        <w:trPr/>
        <w:tc>
          <w:tcPr>
            <w:tcW w:w="5187"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warrants</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328,876</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328,876</w:t>
            </w:r>
          </w:p>
        </w:tc>
        <w:tc>
          <w:tcPr>
            <w:tcW w:w="64" w:type="dxa"/>
            <w:tcBorders/>
            <w:vAlign w:val="bottom"/>
          </w:tcPr>
          <w:p>
            <w:pPr>
              <w:pStyle w:val="TableContents"/>
              <w:bidi w:val="0"/>
              <w:spacing w:before="0" w:after="283"/>
              <w:jc w:val="left"/>
              <w:rPr/>
            </w:pPr>
            <w:r>
              <w:rPr/>
              <w:t> </w:t>
            </w:r>
          </w:p>
        </w:tc>
      </w:tr>
      <w:tr>
        <w:trPr/>
        <w:tc>
          <w:tcPr>
            <w:tcW w:w="5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25,833</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11,520</w:t>
            </w:r>
          </w:p>
        </w:tc>
        <w:tc>
          <w:tcPr>
            <w:tcW w:w="64" w:type="dxa"/>
            <w:tcBorders/>
            <w:shd w:fill="CCEEFF" w:val="clear"/>
            <w:vAlign w:val="bottom"/>
          </w:tcPr>
          <w:p>
            <w:pPr>
              <w:pStyle w:val="TableContents"/>
              <w:bidi w:val="0"/>
              <w:spacing w:before="0" w:after="283"/>
              <w:jc w:val="left"/>
              <w:rPr/>
            </w:pPr>
            <w:r>
              <w:rPr/>
              <w:t> </w:t>
            </w:r>
          </w:p>
        </w:tc>
      </w:tr>
      <w:tr>
        <w:trPr/>
        <w:tc>
          <w:tcPr>
            <w:tcW w:w="5187"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739,511</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703,614</w:t>
            </w:r>
          </w:p>
        </w:tc>
        <w:tc>
          <w:tcPr>
            <w:tcW w:w="64" w:type="dxa"/>
            <w:tcBorders/>
            <w:vAlign w:val="bottom"/>
          </w:tcPr>
          <w:p>
            <w:pPr>
              <w:pStyle w:val="TableContents"/>
              <w:bidi w:val="0"/>
              <w:spacing w:before="0" w:after="283"/>
              <w:jc w:val="left"/>
              <w:rPr/>
            </w:pPr>
            <w:r>
              <w:rPr/>
              <w:t> </w:t>
            </w:r>
          </w:p>
        </w:tc>
      </w:tr>
      <w:tr>
        <w:trPr/>
        <w:tc>
          <w:tcPr>
            <w:tcW w:w="518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3,537,072</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3,486,862</w:t>
            </w:r>
          </w:p>
        </w:tc>
        <w:tc>
          <w:tcPr>
            <w:tcW w:w="64" w:type="dxa"/>
            <w:tcBorders/>
            <w:shd w:fill="CCEEFF" w:val="clear"/>
            <w:vAlign w:val="bottom"/>
          </w:tcPr>
          <w:p>
            <w:pPr>
              <w:pStyle w:val="TableContents"/>
              <w:bidi w:val="0"/>
              <w:spacing w:before="0" w:after="283"/>
              <w:jc w:val="left"/>
              <w:rPr/>
            </w:pPr>
            <w:r>
              <w:rPr/>
              <w:t> </w:t>
            </w:r>
          </w:p>
        </w:tc>
      </w:tr>
      <w:tr>
        <w:trPr/>
        <w:tc>
          <w:tcPr>
            <w:tcW w:w="518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Convertible Promissory Note Warrants are not included in the calculation of weighted average shares outstanding at this time because they are contingently exercisable, and all necessary conditions have not been satisfied as of the end of the period.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shares of common stock issuable upon conversion of the Companys outstanding convertible promissory notes have been excluded from the computation of loss per share because the conditions of the conversion have not been achieved. </w:t>
      </w:r>
    </w:p>
    <w:p>
      <w:pPr>
        <w:pStyle w:val="TextBody"/>
        <w:bidi w:val="0"/>
        <w:spacing w:before="360" w:after="0"/>
        <w:jc w:val="left"/>
        <w:rPr>
          <w:rFonts w:ascii="Times New Roman" w:hAnsi="Times New Roman"/>
          <w:b/>
          <w:sz w:val="20"/>
        </w:rPr>
      </w:pPr>
      <w:r>
        <w:rPr>
          <w:rFonts w:ascii="Times New Roman" w:hAnsi="Times New Roman"/>
          <w:b/>
          <w:sz w:val="20"/>
        </w:rPr>
        <w:t xml:space="preserve">12. 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In January 2007, the Company adopted a defined contribution 401(k) plan for substantially all employees. Contributions made by the Company to the 401(k) plan were immaterial for the years ended December 31, 2022 and 2021,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13.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effective tax rate of the Companys provision (benefit) for income taxes differs from the federal statutory rate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32"/>
        <w:gridCol w:w="322"/>
        <w:gridCol w:w="206"/>
        <w:gridCol w:w="938"/>
        <w:gridCol w:w="229"/>
        <w:gridCol w:w="322"/>
        <w:gridCol w:w="206"/>
        <w:gridCol w:w="941"/>
        <w:gridCol w:w="159"/>
      </w:tblGrid>
      <w:tr>
        <w:trPr/>
        <w:tc>
          <w:tcPr>
            <w:tcW w:w="4432"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8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59" w:type="dxa"/>
            <w:tcBorders/>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29"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center"/>
              <w:rPr/>
            </w:pPr>
            <w:r>
              <w:rPr/>
              <w:t>(As</w:t>
              <w:br/>
              <w:t>Restated)</w:t>
            </w:r>
          </w:p>
        </w:tc>
        <w:tc>
          <w:tcPr>
            <w:tcW w:w="229"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147"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computed at federal statutory rate</w:t>
            </w:r>
          </w:p>
        </w:tc>
        <w:tc>
          <w:tcPr>
            <w:tcW w:w="32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(1,624</w:t>
            </w:r>
          </w:p>
        </w:tc>
        <w:tc>
          <w:tcPr>
            <w:tcW w:w="229"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(4,935</w:t>
            </w:r>
          </w:p>
        </w:tc>
        <w:tc>
          <w:tcPr>
            <w:tcW w:w="159" w:type="dxa"/>
            <w:tcBorders/>
            <w:shd w:fill="CCEEFF" w:val="clear"/>
            <w:vAlign w:val="bottom"/>
          </w:tcPr>
          <w:p>
            <w:pPr>
              <w:pStyle w:val="TableContents"/>
              <w:bidi w:val="0"/>
              <w:spacing w:before="0" w:after="283"/>
              <w:jc w:val="left"/>
              <w:rPr/>
            </w:pPr>
            <w:r>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State tax, net of federal tax benefit</w:t>
            </w:r>
          </w:p>
        </w:tc>
        <w:tc>
          <w:tcPr>
            <w:tcW w:w="32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(683</w:t>
            </w:r>
          </w:p>
        </w:tc>
        <w:tc>
          <w:tcPr>
            <w:tcW w:w="229"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(644</w:t>
            </w:r>
          </w:p>
        </w:tc>
        <w:tc>
          <w:tcPr>
            <w:tcW w:w="159" w:type="dxa"/>
            <w:tcBorders/>
            <w:vAlign w:val="bottom"/>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32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(1,237</w:t>
            </w:r>
          </w:p>
        </w:tc>
        <w:tc>
          <w:tcPr>
            <w:tcW w:w="229"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1,029</w:t>
            </w:r>
          </w:p>
        </w:tc>
        <w:tc>
          <w:tcPr>
            <w:tcW w:w="159" w:type="dxa"/>
            <w:tcBorders/>
            <w:shd w:fill="CCEEFF" w:val="clear"/>
            <w:vAlign w:val="bottom"/>
          </w:tcPr>
          <w:p>
            <w:pPr>
              <w:pStyle w:val="TableContents"/>
              <w:bidi w:val="0"/>
              <w:spacing w:before="0" w:after="283"/>
              <w:jc w:val="left"/>
              <w:rPr/>
            </w:pPr>
            <w:r>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tax credits, net of uncertain positions</w:t>
            </w:r>
          </w:p>
        </w:tc>
        <w:tc>
          <w:tcPr>
            <w:tcW w:w="32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229</w:t>
            </w:r>
          </w:p>
        </w:tc>
        <w:tc>
          <w:tcPr>
            <w:tcW w:w="229"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(365</w:t>
            </w:r>
          </w:p>
        </w:tc>
        <w:tc>
          <w:tcPr>
            <w:tcW w:w="159" w:type="dxa"/>
            <w:tcBorders/>
            <w:vAlign w:val="bottom"/>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32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3,315</w:t>
            </w:r>
          </w:p>
        </w:tc>
        <w:tc>
          <w:tcPr>
            <w:tcW w:w="229"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4,915</w:t>
            </w:r>
          </w:p>
        </w:tc>
        <w:tc>
          <w:tcPr>
            <w:tcW w:w="159" w:type="dxa"/>
            <w:tcBorders/>
            <w:shd w:fill="CCEEFF" w:val="clear"/>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32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Deferred income taxes reflect the net tax effects of (a) temporary differences between the carrying amounts of assets and liabilities for financial reporting purposes and the amounts used for income tax purposes, and (b) operating losses and tax credit carryforwards. Significant components of deferred tax assets (liabilities) at December 31 are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89"/>
        <w:gridCol w:w="298"/>
        <w:gridCol w:w="140"/>
        <w:gridCol w:w="765"/>
        <w:gridCol w:w="155"/>
        <w:gridCol w:w="243"/>
        <w:gridCol w:w="140"/>
        <w:gridCol w:w="765"/>
        <w:gridCol w:w="160"/>
      </w:tblGrid>
      <w:tr>
        <w:trPr/>
        <w:tc>
          <w:tcPr>
            <w:tcW w:w="5089"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9"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15,839</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13,550</w:t>
            </w:r>
          </w:p>
        </w:tc>
        <w:tc>
          <w:tcPr>
            <w:tcW w:w="160"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6,407</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5,949</w:t>
            </w:r>
          </w:p>
        </w:tc>
        <w:tc>
          <w:tcPr>
            <w:tcW w:w="160" w:type="dxa"/>
            <w:tcBorders/>
            <w:shd w:fill="CCEEFF" w:val="clear"/>
            <w:vAlign w:val="bottom"/>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Accrued and deferred expenses</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167</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88</w:t>
            </w:r>
          </w:p>
        </w:tc>
        <w:tc>
          <w:tcPr>
            <w:tcW w:w="160"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 carry forwards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5,736</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5,268</w:t>
            </w:r>
          </w:p>
        </w:tc>
        <w:tc>
          <w:tcPr>
            <w:tcW w:w="160" w:type="dxa"/>
            <w:tcBorders/>
            <w:shd w:fill="CCEEFF" w:val="clear"/>
            <w:vAlign w:val="bottom"/>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41</w:t>
            </w:r>
          </w:p>
        </w:tc>
        <w:tc>
          <w:tcPr>
            <w:tcW w:w="160"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118</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71</w:t>
            </w:r>
          </w:p>
        </w:tc>
        <w:tc>
          <w:tcPr>
            <w:tcW w:w="160"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28,278</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24,967</w:t>
            </w:r>
          </w:p>
        </w:tc>
        <w:tc>
          <w:tcPr>
            <w:tcW w:w="160"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(40</w:t>
            </w:r>
          </w:p>
        </w:tc>
        <w:tc>
          <w:tcPr>
            <w:tcW w:w="160"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assets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(3</w:t>
            </w:r>
          </w:p>
        </w:tc>
        <w:tc>
          <w:tcPr>
            <w:tcW w:w="160"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(43</w:t>
            </w:r>
          </w:p>
        </w:tc>
        <w:tc>
          <w:tcPr>
            <w:tcW w:w="160" w:type="dxa"/>
            <w:tcBorders/>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deferred tax assets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28,240</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24,924</w:t>
            </w:r>
          </w:p>
        </w:tc>
        <w:tc>
          <w:tcPr>
            <w:tcW w:w="160"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(28,240</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(24,924</w:t>
            </w:r>
          </w:p>
        </w:tc>
        <w:tc>
          <w:tcPr>
            <w:tcW w:w="160" w:type="dxa"/>
            <w:tcBorders/>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provided a full valuation allowance on the net deferred tax asset because management has determined that it is more-likely-than-not that the Company will not earn income sufficient to realize the deferred tax assets during the carryforward period. As of December 31, 2022, the Company has federal and state NOLs available of approximately $75.4 million and $74.4 million (as restated), respectively, to offset future taxable income, if any, for federal and state income tax purposes. The federal and state NOLs expire beginning in 2026. The Company has $34.9 million of post-2017 federal NOL carryforwards that carry forward indefinitely. In addition, under the Tax Act the amount of net operating losses generated in taxable periods beginning after December 31, 2017, that we are permitted to deduct in any taxable year is limited to 80% of our taxable income in such year, where taxable income is determined without regard to the net operating loss deduction itself. The Tax Act generally eliminates the ability to carry back any net operating loss to prior taxable years, while allowing post-2017 unused net operating losses to be carried forward indefinitely.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the Company has federal and state research and development credit carryforwards available of approximately $4.9 million and $2.2 million, respectively. Federal research and development carryforwards expire beginning in 2027. State research and development carryforwards do not expire. </w:t>
      </w:r>
    </w:p>
    <w:p>
      <w:pPr>
        <w:pStyle w:val="TextBody"/>
        <w:bidi w:val="0"/>
        <w:spacing w:before="240" w:after="0"/>
        <w:jc w:val="left"/>
        <w:rPr>
          <w:rFonts w:ascii="Times New Roman" w:hAnsi="Times New Roman"/>
          <w:sz w:val="20"/>
        </w:rPr>
      </w:pPr>
      <w:r>
        <w:rPr>
          <w:rFonts w:ascii="Times New Roman" w:hAnsi="Times New Roman"/>
          <w:sz w:val="20"/>
        </w:rPr>
        <w:t xml:space="preserve">Pursuant to Internal Revenue Code of 1986, as amended (the Code) specifically by IRC §382, the Companys ability to use net operating loss carryforwards to offset future taxable income is limited if the Company experiences a cumulative change in ownership of more than 50% within a three- year testing period. 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reduced. Any limitation may result in the expiration of a portion of the NOL carryforwards before utilization.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07"/>
        <w:gridCol w:w="360"/>
        <w:gridCol w:w="140"/>
        <w:gridCol w:w="564"/>
        <w:gridCol w:w="168"/>
      </w:tblGrid>
      <w:tr>
        <w:trPr/>
        <w:tc>
          <w:tcPr>
            <w:tcW w:w="5707"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707"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(As</w:t>
            </w:r>
          </w:p>
          <w:p>
            <w:pPr>
              <w:pStyle w:val="TableContents"/>
              <w:bidi w:val="0"/>
              <w:spacing w:before="0" w:after="20"/>
              <w:jc w:val="center"/>
              <w:rPr>
                <w:rFonts w:ascii="Times New Roman" w:hAnsi="Times New Roman"/>
                <w:sz w:val="16"/>
              </w:rPr>
            </w:pPr>
            <w:r>
              <w:rPr>
                <w:rFonts w:ascii="Times New Roman" w:hAnsi="Times New Roman"/>
                <w:sz w:val="16"/>
              </w:rPr>
              <w:t>Restated)</w:t>
            </w:r>
          </w:p>
        </w:tc>
        <w:tc>
          <w:tcPr>
            <w:tcW w:w="168" w:type="dxa"/>
            <w:tcBorders/>
            <w:vAlign w:val="bottom"/>
          </w:tcPr>
          <w:p>
            <w:pPr>
              <w:pStyle w:val="TableContents"/>
              <w:bidi w:val="0"/>
              <w:spacing w:before="0" w:after="283"/>
              <w:jc w:val="left"/>
              <w:rPr/>
            </w:pPr>
            <w:r>
              <w:rPr/>
              <w:t> </w:t>
            </w:r>
          </w:p>
        </w:tc>
      </w:tr>
      <w:tr>
        <w:trPr/>
        <w:tc>
          <w:tcPr>
            <w:tcW w:w="5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change in the Companys unrecognized tax benefits is summarized as follows (in thousands):</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5707"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2020</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4" w:type="dxa"/>
            <w:tcBorders/>
            <w:vAlign w:val="bottom"/>
          </w:tcPr>
          <w:p>
            <w:pPr>
              <w:pStyle w:val="TableContents"/>
              <w:bidi w:val="0"/>
              <w:spacing w:before="0" w:after="283"/>
              <w:jc w:val="right"/>
              <w:rPr/>
            </w:pPr>
            <w:r>
              <w:rPr/>
              <w:t>5,576</w:t>
            </w:r>
          </w:p>
        </w:tc>
        <w:tc>
          <w:tcPr>
            <w:tcW w:w="168" w:type="dxa"/>
            <w:tcBorders/>
            <w:vAlign w:val="bottom"/>
          </w:tcPr>
          <w:p>
            <w:pPr>
              <w:pStyle w:val="TableContents"/>
              <w:bidi w:val="0"/>
              <w:spacing w:before="0" w:after="283"/>
              <w:jc w:val="left"/>
              <w:rPr/>
            </w:pPr>
            <w:r>
              <w:rPr/>
              <w:t> </w:t>
            </w:r>
          </w:p>
        </w:tc>
      </w:tr>
      <w:tr>
        <w:trPr/>
        <w:tc>
          <w:tcPr>
            <w:tcW w:w="5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related to current year tax positions</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962</w:t>
            </w:r>
          </w:p>
        </w:tc>
        <w:tc>
          <w:tcPr>
            <w:tcW w:w="168" w:type="dxa"/>
            <w:tcBorders/>
            <w:shd w:fill="CCEEFF" w:val="clear"/>
            <w:vAlign w:val="bottom"/>
          </w:tcPr>
          <w:p>
            <w:pPr>
              <w:pStyle w:val="TableContents"/>
              <w:bidi w:val="0"/>
              <w:spacing w:before="0" w:after="283"/>
              <w:jc w:val="left"/>
              <w:rPr/>
            </w:pPr>
            <w:r>
              <w:rPr/>
              <w:t> </w:t>
            </w:r>
          </w:p>
        </w:tc>
      </w:tr>
      <w:tr>
        <w:trPr/>
        <w:tc>
          <w:tcPr>
            <w:tcW w:w="5707" w:type="dxa"/>
            <w:tcBorders/>
          </w:tcPr>
          <w:p>
            <w:pPr>
              <w:pStyle w:val="TableContents"/>
              <w:bidi w:val="0"/>
              <w:spacing w:before="0" w:after="0"/>
              <w:jc w:val="left"/>
              <w:rPr>
                <w:rFonts w:ascii="Times New Roman" w:hAnsi="Times New Roman"/>
                <w:sz w:val="20"/>
              </w:rPr>
            </w:pPr>
            <w:r>
              <w:rPr>
                <w:rFonts w:ascii="Times New Roman" w:hAnsi="Times New Roman"/>
                <w:sz w:val="20"/>
              </w:rPr>
              <w:t>Reductions for tax positions of prior years</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(81</w:t>
            </w:r>
          </w:p>
        </w:tc>
        <w:tc>
          <w:tcPr>
            <w:tcW w:w="168" w:type="dxa"/>
            <w:tcBorders/>
            <w:vAlign w:val="bottom"/>
          </w:tcPr>
          <w:p>
            <w:pPr>
              <w:pStyle w:val="TableContents"/>
              <w:bidi w:val="0"/>
              <w:spacing w:before="0" w:after="283"/>
              <w:jc w:val="left"/>
              <w:rPr/>
            </w:pPr>
            <w:r>
              <w:rPr/>
              <w:t>) </w:t>
            </w:r>
          </w:p>
        </w:tc>
      </w:tr>
      <w:tr>
        <w:trPr/>
        <w:tc>
          <w:tcPr>
            <w:tcW w:w="5707"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5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2021</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6,457</w:t>
            </w:r>
          </w:p>
        </w:tc>
        <w:tc>
          <w:tcPr>
            <w:tcW w:w="168" w:type="dxa"/>
            <w:tcBorders/>
            <w:shd w:fill="CCEEFF" w:val="clear"/>
            <w:vAlign w:val="bottom"/>
          </w:tcPr>
          <w:p>
            <w:pPr>
              <w:pStyle w:val="TableContents"/>
              <w:bidi w:val="0"/>
              <w:spacing w:before="0" w:after="283"/>
              <w:jc w:val="left"/>
              <w:rPr/>
            </w:pPr>
            <w:r>
              <w:rPr/>
              <w:t> </w:t>
            </w:r>
          </w:p>
        </w:tc>
      </w:tr>
      <w:tr>
        <w:trPr/>
        <w:tc>
          <w:tcPr>
            <w:tcW w:w="5707" w:type="dxa"/>
            <w:tcBorders/>
          </w:tcPr>
          <w:p>
            <w:pPr>
              <w:pStyle w:val="TableContents"/>
              <w:bidi w:val="0"/>
              <w:spacing w:before="0" w:after="0"/>
              <w:jc w:val="left"/>
              <w:rPr>
                <w:rFonts w:ascii="Times New Roman" w:hAnsi="Times New Roman"/>
                <w:sz w:val="20"/>
              </w:rPr>
            </w:pPr>
            <w:r>
              <w:rPr>
                <w:rFonts w:ascii="Times New Roman" w:hAnsi="Times New Roman"/>
                <w:sz w:val="20"/>
              </w:rPr>
              <w:t>Increase related to current year tax positions</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973</w:t>
            </w:r>
          </w:p>
        </w:tc>
        <w:tc>
          <w:tcPr>
            <w:tcW w:w="168" w:type="dxa"/>
            <w:tcBorders/>
            <w:vAlign w:val="bottom"/>
          </w:tcPr>
          <w:p>
            <w:pPr>
              <w:pStyle w:val="TableContents"/>
              <w:bidi w:val="0"/>
              <w:spacing w:before="0" w:after="283"/>
              <w:jc w:val="left"/>
              <w:rPr/>
            </w:pPr>
            <w:r>
              <w:rPr/>
              <w:t> </w:t>
            </w:r>
          </w:p>
        </w:tc>
      </w:tr>
      <w:tr>
        <w:trPr/>
        <w:tc>
          <w:tcPr>
            <w:tcW w:w="5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for tax positions of prior years</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76</w:t>
            </w:r>
          </w:p>
        </w:tc>
        <w:tc>
          <w:tcPr>
            <w:tcW w:w="168" w:type="dxa"/>
            <w:tcBorders/>
            <w:shd w:fill="CCEEFF" w:val="clear"/>
            <w:vAlign w:val="bottom"/>
          </w:tcPr>
          <w:p>
            <w:pPr>
              <w:pStyle w:val="TableContents"/>
              <w:bidi w:val="0"/>
              <w:spacing w:before="0" w:after="283"/>
              <w:jc w:val="left"/>
              <w:rPr/>
            </w:pPr>
            <w:r>
              <w:rPr/>
              <w:t> </w:t>
            </w:r>
          </w:p>
        </w:tc>
      </w:tr>
      <w:tr>
        <w:trPr/>
        <w:tc>
          <w:tcPr>
            <w:tcW w:w="5707"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5707"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4" w:type="dxa"/>
            <w:tcBorders/>
            <w:vAlign w:val="bottom"/>
          </w:tcPr>
          <w:p>
            <w:pPr>
              <w:pStyle w:val="TableContents"/>
              <w:bidi w:val="0"/>
              <w:spacing w:before="0" w:after="283"/>
              <w:jc w:val="right"/>
              <w:rPr/>
            </w:pPr>
            <w:r>
              <w:rPr/>
              <w:t>7,506</w:t>
            </w:r>
          </w:p>
        </w:tc>
        <w:tc>
          <w:tcPr>
            <w:tcW w:w="16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threshold to be recognized. The Companys practice is to recognize interest and/or penalties related to income tax matters in income tax expense. The Company had no accrual for interest and penalties and has not recognized interest and/ or penalties in the statements of operations and comprehensive loss for the years ended December 31, 2022 and 2021. Uncertain tax positions are evaluated based upon the facts and circumstances that exist at each reporting period. Subsequent changes in judgment based upon new information may lead to changes in recognition, derecognition, and measurement. Adjustments may result, for example, upon resolution of an issue with the taxing authorities or expiration of a statute of limitations barring an assessment for an issue.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2022, and 2021, our unrecognized tax benefits associated with uncertain tax positions was approximately $6.1 million and $5.2 million respectively. If recognized, this would affect the effective tax rate, subject to valuation allowance. As of December 31, 2022, the Company did not recognize any interest and penalties associated with unrecognized tax benefits. Due to net operating losses incurred, tax years from inception remain open to examination by the Federal and State taxing jurisdictions to which we are subject. The Company is not currently under Internal Revenue Services (IRS), state or local tax examination. </w:t>
      </w:r>
    </w:p>
    <w:p>
      <w:pPr>
        <w:pStyle w:val="TextBody"/>
        <w:bidi w:val="0"/>
        <w:spacing w:before="360" w:after="0"/>
        <w:jc w:val="left"/>
        <w:rPr>
          <w:rFonts w:ascii="Times New Roman" w:hAnsi="Times New Roman"/>
          <w:b/>
          <w:sz w:val="20"/>
        </w:rPr>
      </w:pPr>
      <w:r>
        <w:rPr>
          <w:rFonts w:ascii="Times New Roman" w:hAnsi="Times New Roman"/>
          <w:b/>
          <w:sz w:val="20"/>
        </w:rPr>
        <w:t xml:space="preserve">14.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through April 4, 2023, the date on which the accompanying financial statements were issued. During this period, the Company has concluded that no material subsequent events have occurred other than those disclosed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2023, CalciMedica entered into a note purchase agreement with Graybug with an aggregate principal amount of up to $2 million, with $500,000 deliverable in each of four closings. The Company obtained $1.0 million in notes. The note has an interest rate of 7.5% compounded annually and was due and payable on the six-month anniversary date of the maturity date. At the closing of the Merger, the loan and accrued interest was applied as an addition to the Graybug net cash amount as of the date of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consummation of the Merger, CalciMedica completed a Private Placement financing by issuing 596,363 shares of CalciMedica common stock at $17.34 per share for an aggregate purchase price of $10.3 million. In connection with the Private Placement, CalciMedica entered into a registration rights agreement, granting certain registration rights with respect to the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Completion of the Merger Transaction </w:t>
      </w:r>
    </w:p>
    <w:p>
      <w:pPr>
        <w:pStyle w:val="TextBody"/>
        <w:bidi w:val="0"/>
        <w:spacing w:before="120" w:after="0"/>
        <w:jc w:val="left"/>
        <w:rPr>
          <w:rFonts w:ascii="Times New Roman" w:hAnsi="Times New Roman"/>
          <w:sz w:val="20"/>
        </w:rPr>
      </w:pPr>
      <w:r>
        <w:rPr>
          <w:rFonts w:ascii="Times New Roman" w:hAnsi="Times New Roman"/>
          <w:sz w:val="20"/>
        </w:rPr>
        <w:t xml:space="preserve">As more fully described in Note 1, on March 20, 2023, Graybug completed a merger transaction by and among Graybug, Merger Sub, and the Company, pursuant to which Merger Sub merged with and into the Company, with the Company surviving the Merger as a wholly owned subsidiary of Graybug. Additionally, the Company changed its name from Graybug Vision, Inc. to CalciMedica, Inc.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the Merger, each share of CalciMedica common stock outstanding after giving effect to the automatic conversion of each share of CalciMedica preferred stock into shares of CalciMedica common stock, the automatic exercise of certain CalciMedica warrants to purchase shares of CalciMedica common stock and the conversion of CalciMedica convertible promissory notes into CalciMedica common stock, was automatically converted solely into the right to receive a number of shares of Graybug common stock equal to the Exchange Ratio of 0.02880, with any fractional share issuable to a holder aggregated with all other fractional shares issuable to such holder and rounded up to the nearest whole share of Graybug common stock.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43789</Words>
  <Characters>238564</Characters>
  <CharactersWithSpaces>283940</CharactersWithSpaces>
  <Paragraphs>4327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