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CalciMedica,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38942Q202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20,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82"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38942Q202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Arial" w:cs="Arial" w:eastAsia="Arial" w:hAnsi="Arial"/>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Arial" w:cs="Arial" w:eastAsia="Arial" w:hAnsi="Arial"/>
                <w:sz w:val="18"/>
                <w:szCs w:val="18"/>
                <w:b w:val="1"/>
                <w:bCs w:val="1"/>
                <w:color w:val="auto"/>
                <w:w w:val="85"/>
              </w:rPr>
              <w:t>Page 2 of 10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Revelation Healthcare Fund I, L.P.</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 of class was calculated based on 5,517,754 shares of Common Stock outstanding as of March 20, 2023, as reported in the Issuer’s Current Report on Form 8-K filed with the Securities and Exchange Commission on March 22, 2023.</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38942Q202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Arial" w:cs="Arial" w:eastAsia="Arial" w:hAnsi="Arial"/>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Arial" w:cs="Arial" w:eastAsia="Arial" w:hAnsi="Arial"/>
                <w:sz w:val="18"/>
                <w:szCs w:val="18"/>
                <w:b w:val="1"/>
                <w:bCs w:val="1"/>
                <w:color w:val="auto"/>
                <w:w w:val="85"/>
              </w:rPr>
              <w:t>Page 3 of 10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Revelation Healthcare Fund I GP, L.P.</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10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of class was calculated based on 5,517,754 shares of Common Stock outstanding as of March 20, 2023, as reported in the Issuer’s Current Report on Form 8-K filed with the Securities and Exchange Commission on March 22, 2023.</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38942Q202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Arial" w:cs="Arial" w:eastAsia="Arial" w:hAnsi="Arial"/>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Arial" w:cs="Arial" w:eastAsia="Arial" w:hAnsi="Arial"/>
                <w:sz w:val="18"/>
                <w:szCs w:val="18"/>
                <w:b w:val="1"/>
                <w:bCs w:val="1"/>
                <w:color w:val="auto"/>
                <w:w w:val="85"/>
              </w:rPr>
              <w:t>Page 4 of 10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Revelation Healthcare Fund I GP, LLC</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0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class was calculated based on 5,517,754 shares of Common Stock outstanding as of March 20, 2023, as reported in the Issuer’s Current Report on Form 8-K filed with the Securities and Exchange Commission on March 22, 2023.</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38942Q202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Arial" w:cs="Arial" w:eastAsia="Arial" w:hAnsi="Arial"/>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Arial" w:cs="Arial" w:eastAsia="Arial" w:hAnsi="Arial"/>
                <w:sz w:val="18"/>
                <w:szCs w:val="18"/>
                <w:b w:val="1"/>
                <w:bCs w:val="1"/>
                <w:color w:val="auto"/>
                <w:w w:val="85"/>
              </w:rPr>
              <w:t>Page 5 of 10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Scott Halsted</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0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of class was calculated based on 5,517,754 shares of Common Stock outstanding as of March 20, 2023, as reported in the Issuer’s Current Report on Form 8-K filed with the Securities and Exchange Commission on March 22, 2023.</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4"/>
        </w:trPr>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CUSIP No. 38942Q202</w:t>
            </w:r>
          </w:p>
        </w:tc>
        <w:tc>
          <w:tcPr>
            <w:tcW w:w="100" w:type="dxa"/>
            <w:vAlign w:val="bottom"/>
          </w:tcPr>
          <w:p>
            <w:pPr>
              <w:spacing w:after="0"/>
              <w:rPr>
                <w:sz w:val="20"/>
                <w:szCs w:val="20"/>
                <w:color w:val="auto"/>
              </w:rPr>
            </w:pPr>
          </w:p>
        </w:tc>
        <w:tc>
          <w:tcPr>
            <w:tcW w:w="6800" w:type="dxa"/>
            <w:vAlign w:val="bottom"/>
          </w:tcPr>
          <w:p>
            <w:pPr>
              <w:ind w:left="3200"/>
              <w:spacing w:after="0"/>
              <w:rPr>
                <w:sz w:val="20"/>
                <w:szCs w:val="20"/>
                <w:color w:val="auto"/>
              </w:rPr>
            </w:pPr>
            <w:r>
              <w:rPr>
                <w:rFonts w:ascii="Arial" w:cs="Arial" w:eastAsia="Arial" w:hAnsi="Arial"/>
                <w:sz w:val="18"/>
                <w:szCs w:val="18"/>
                <w:b w:val="1"/>
                <w:bCs w:val="1"/>
                <w:color w:val="auto"/>
              </w:rPr>
              <w:t>SCHEDULE 13G</w:t>
            </w:r>
          </w:p>
        </w:tc>
        <w:tc>
          <w:tcPr>
            <w:tcW w:w="2360" w:type="dxa"/>
            <w:vAlign w:val="bottom"/>
            <w:gridSpan w:val="2"/>
          </w:tcPr>
          <w:p>
            <w:pPr>
              <w:ind w:left="940"/>
              <w:spacing w:after="0"/>
              <w:rPr>
                <w:sz w:val="20"/>
                <w:szCs w:val="20"/>
                <w:color w:val="auto"/>
              </w:rPr>
            </w:pPr>
            <w:r>
              <w:rPr>
                <w:rFonts w:ascii="Arial" w:cs="Arial" w:eastAsia="Arial" w:hAnsi="Arial"/>
                <w:sz w:val="18"/>
                <w:szCs w:val="18"/>
                <w:b w:val="1"/>
                <w:bCs w:val="1"/>
                <w:color w:val="auto"/>
                <w:w w:val="85"/>
              </w:rPr>
              <w:t>Page 6 of 10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1"/>
              </w:rPr>
              <w:t>Michael Boggs</w:t>
            </w: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542,029</w:t>
            </w:r>
          </w:p>
        </w:tc>
        <w:tc>
          <w:tcPr>
            <w:tcW w:w="2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542,029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0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class was calculated based on 5,517,754 shares of Common Stock outstanding as of March 20, 2023, as reported in the Issuer’s Current Report on Form 8-K filed with the Securities and Exchange Commission on March 22, 2023.</w:t>
      </w:r>
    </w:p>
    <w:p>
      <w:pPr>
        <w:sectPr>
          <w:pgSz w:w="11900" w:h="16838" w:orient="portrait"/>
          <w:cols w:equalWidth="0" w:num="1">
            <w:col w:w="11024"/>
          </w:cols>
          <w:pgMar w:left="436" w:top="270" w:right="4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CUSIP No. 38942Q202</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-206375</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10 Pages</w:t>
      </w:r>
    </w:p>
    <w:p>
      <w:pPr>
        <w:spacing w:after="0" w:line="191" w:lineRule="exact"/>
        <w:rPr>
          <w:sz w:val="20"/>
          <w:szCs w:val="20"/>
          <w:color w:val="auto"/>
        </w:rPr>
      </w:pPr>
    </w:p>
    <w:p>
      <w:pPr>
        <w:sectPr>
          <w:pgSz w:w="11900" w:h="16838" w:orient="portrait"/>
          <w:cols w:equalWidth="0" w:num="3">
            <w:col w:w="4340" w:space="720"/>
            <w:col w:w="3820" w:space="720"/>
            <w:col w:w="1420"/>
          </w:cols>
          <w:pgMar w:left="440" w:top="270" w:right="439" w:bottom="1440" w:gutter="0" w:footer="0" w:header="0"/>
        </w:sect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Issuer</w:t>
      </w:r>
    </w:p>
    <w:p>
      <w:pPr>
        <w:sectPr>
          <w:pgSz w:w="11900" w:h="16838" w:orient="portrait"/>
          <w:cols w:equalWidth="0" w:num="1">
            <w:col w:w="11020"/>
          </w:cols>
          <w:pgMar w:left="440" w:top="270" w:right="439" w:bottom="1440" w:gutter="0" w:footer="0" w:header="0"/>
          <w:type w:val="continuous"/>
        </w:sectPr>
      </w:pPr>
    </w:p>
    <w:p>
      <w:pPr>
        <w:spacing w:after="0" w:line="135"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CalciMedica, Inc. (the “</w:t>
      </w:r>
      <w:r>
        <w:rPr>
          <w:rFonts w:ascii="Arial" w:cs="Arial" w:eastAsia="Arial" w:hAnsi="Arial"/>
          <w:sz w:val="18"/>
          <w:szCs w:val="18"/>
          <w:b w:val="1"/>
          <w:bCs w:val="1"/>
          <w:u w:val="single" w:color="auto"/>
          <w:color w:val="auto"/>
        </w:rPr>
        <w:t>Issuer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980" w:right="7280"/>
        <w:spacing w:after="0" w:line="277" w:lineRule="auto"/>
        <w:rPr>
          <w:rFonts w:ascii="Arial" w:cs="Arial" w:eastAsia="Arial" w:hAnsi="Arial"/>
          <w:sz w:val="18"/>
          <w:szCs w:val="18"/>
          <w:color w:val="auto"/>
        </w:rPr>
      </w:pPr>
      <w:r>
        <w:rPr>
          <w:rFonts w:ascii="Arial" w:cs="Arial" w:eastAsia="Arial" w:hAnsi="Arial"/>
          <w:sz w:val="18"/>
          <w:szCs w:val="18"/>
          <w:color w:val="auto"/>
        </w:rPr>
        <w:t>505 Coast Boulevard South, Suite 307 La Jolla, CA 92037</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35" w:lineRule="exact"/>
        <w:rPr>
          <w:sz w:val="20"/>
          <w:szCs w:val="20"/>
          <w:color w:val="auto"/>
        </w:rPr>
      </w:pPr>
    </w:p>
    <w:p>
      <w:pPr>
        <w:ind w:left="680" w:hanging="25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(c)</w:t>
      </w:r>
      <w:r>
        <w:rPr>
          <w:rFonts w:ascii="Arial" w:cs="Arial" w:eastAsia="Arial" w:hAnsi="Arial"/>
          <w:sz w:val="16"/>
          <w:szCs w:val="16"/>
          <w:color w:val="auto"/>
        </w:rPr>
        <w:t>Name of Persons Filing; Address; Citizenship:</w:t>
      </w:r>
    </w:p>
    <w:p>
      <w:pPr>
        <w:spacing w:after="0" w:line="126" w:lineRule="exact"/>
        <w:rPr>
          <w:rFonts w:ascii="Arial" w:cs="Arial" w:eastAsia="Arial" w:hAnsi="Arial"/>
          <w:sz w:val="18"/>
          <w:szCs w:val="18"/>
          <w:color w:val="auto"/>
        </w:rPr>
      </w:pPr>
    </w:p>
    <w:p>
      <w:pPr>
        <w:ind w:left="2400" w:hanging="433"/>
        <w:spacing w:after="0"/>
        <w:tabs>
          <w:tab w:leader="none" w:pos="2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Revelation Healthcare Fund I, L.P., a Delaware limited partnership (“</w:t>
      </w:r>
      <w:r>
        <w:rPr>
          <w:rFonts w:ascii="Arial" w:cs="Arial" w:eastAsia="Arial" w:hAnsi="Arial"/>
          <w:sz w:val="18"/>
          <w:szCs w:val="18"/>
          <w:b w:val="1"/>
          <w:bCs w:val="1"/>
          <w:u w:val="single" w:color="auto"/>
          <w:color w:val="auto"/>
        </w:rPr>
        <w:t>Healthcare Fund I</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Revelation Healthcare Fund I GP, L.P., a Delaware limited partnership (“</w:t>
      </w:r>
      <w:r>
        <w:rPr>
          <w:rFonts w:ascii="Arial" w:cs="Arial" w:eastAsia="Arial" w:hAnsi="Arial"/>
          <w:sz w:val="18"/>
          <w:szCs w:val="18"/>
          <w:b w:val="1"/>
          <w:bCs w:val="1"/>
          <w:u w:val="single" w:color="auto"/>
          <w:color w:val="auto"/>
        </w:rPr>
        <w:t>Healthcare Fund I GP LP</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Revelation Healthcare Fund I GP, LLC, a Delaware limited liability company (“</w:t>
      </w:r>
      <w:r>
        <w:rPr>
          <w:rFonts w:ascii="Arial" w:cs="Arial" w:eastAsia="Arial" w:hAnsi="Arial"/>
          <w:sz w:val="17"/>
          <w:szCs w:val="17"/>
          <w:b w:val="1"/>
          <w:bCs w:val="1"/>
          <w:u w:val="single" w:color="auto"/>
          <w:color w:val="auto"/>
        </w:rPr>
        <w:t>Healthcare Fund II GP LLC</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2400" w:hanging="433"/>
        <w:spacing w:after="0"/>
        <w:tabs>
          <w:tab w:leader="none" w:pos="2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Scott Halsted, a citizen of the United States of America (“</w:t>
      </w:r>
      <w:r>
        <w:rPr>
          <w:rFonts w:ascii="Arial" w:cs="Arial" w:eastAsia="Arial" w:hAnsi="Arial"/>
          <w:sz w:val="18"/>
          <w:szCs w:val="18"/>
          <w:b w:val="1"/>
          <w:bCs w:val="1"/>
          <w:u w:val="single" w:color="auto"/>
          <w:color w:val="auto"/>
        </w:rPr>
        <w:t>Halsted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Michael Boggs, a citizen of the United States of America (“</w:t>
      </w:r>
      <w:r>
        <w:rPr>
          <w:rFonts w:ascii="Arial" w:cs="Arial" w:eastAsia="Arial" w:hAnsi="Arial"/>
          <w:sz w:val="18"/>
          <w:szCs w:val="18"/>
          <w:b w:val="1"/>
          <w:bCs w:val="1"/>
          <w:u w:val="single" w:color="auto"/>
          <w:color w:val="auto"/>
        </w:rPr>
        <w:t>Boggs</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 300 Turney Street, Sausalito, CA 94965.</w:t>
      </w:r>
    </w:p>
    <w:p>
      <w:pPr>
        <w:spacing w:after="0" w:line="131"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130" w:lineRule="exact"/>
        <w:rPr>
          <w:rFonts w:ascii="Arial" w:cs="Arial" w:eastAsia="Arial" w:hAnsi="Arial"/>
          <w:sz w:val="18"/>
          <w:szCs w:val="18"/>
          <w:color w:val="auto"/>
        </w:rPr>
      </w:pPr>
    </w:p>
    <w:p>
      <w:pPr>
        <w:ind w:left="980" w:right="8860" w:hanging="552"/>
        <w:spacing w:after="0" w:line="483" w:lineRule="auto"/>
        <w:tabs>
          <w:tab w:leader="none" w:pos="9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38942Q202</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23" w:lineRule="exact"/>
        <w:rPr>
          <w:sz w:val="20"/>
          <w:szCs w:val="20"/>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right="80" w:hanging="705"/>
        <w:spacing w:after="0" w:line="239" w:lineRule="exact"/>
        <w:tabs>
          <w:tab w:leader="none" w:pos="1416"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420" w:hanging="425"/>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020"/>
          </w:cols>
          <w:pgMar w:left="440" w:top="270"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auto"/>
        </w:rPr>
        <w:t>CUSIP No. 38942Q202</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-206375</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10 Pages</w:t>
      </w:r>
    </w:p>
    <w:p>
      <w:pPr>
        <w:spacing w:after="0" w:line="191" w:lineRule="exact"/>
        <w:rPr>
          <w:sz w:val="20"/>
          <w:szCs w:val="20"/>
          <w:color w:val="auto"/>
        </w:rPr>
      </w:pPr>
    </w:p>
    <w:p>
      <w:pPr>
        <w:sectPr>
          <w:pgSz w:w="11900" w:h="16838" w:orient="portrait"/>
          <w:cols w:equalWidth="0" w:num="3">
            <w:col w:w="4340" w:space="720"/>
            <w:col w:w="3820" w:space="720"/>
            <w:col w:w="1420"/>
          </w:cols>
          <w:pgMar w:left="440" w:top="270" w:right="439" w:bottom="1440" w:gutter="0" w:footer="0" w:header="0"/>
        </w:sect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ectPr>
          <w:pgSz w:w="11900" w:h="16838" w:orient="portrait"/>
          <w:cols w:equalWidth="0" w:num="1">
            <w:col w:w="11020"/>
          </w:cols>
          <w:pgMar w:left="440" w:top="270" w:right="439" w:bottom="1440" w:gutter="0" w:footer="0" w:header="0"/>
          <w:type w:val="continuous"/>
        </w:sectPr>
      </w:pP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and (b)</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Amount beneficially owned:</w:t>
      </w:r>
    </w:p>
    <w:p>
      <w:pPr>
        <w:spacing w:after="0" w:line="200" w:lineRule="exact"/>
        <w:rPr>
          <w:sz w:val="20"/>
          <w:szCs w:val="20"/>
          <w:color w:val="auto"/>
        </w:rPr>
      </w:pPr>
    </w:p>
    <w:p>
      <w:pPr>
        <w:sectPr>
          <w:pgSz w:w="11900" w:h="16838" w:orient="portrait"/>
          <w:cols w:equalWidth="0" w:num="2">
            <w:col w:w="1740" w:space="220"/>
            <w:col w:w="9060"/>
          </w:cols>
          <w:pgMar w:left="440" w:top="270" w:right="439" w:bottom="1440" w:gutter="0" w:footer="0" w:header="0"/>
          <w:type w:val="continuous"/>
        </w:sectPr>
      </w:pPr>
    </w:p>
    <w:p>
      <w:pPr>
        <w:spacing w:after="0" w:line="48" w:lineRule="exact"/>
        <w:rPr>
          <w:sz w:val="20"/>
          <w:szCs w:val="20"/>
          <w:color w:val="auto"/>
        </w:rPr>
      </w:pPr>
    </w:p>
    <w:p>
      <w:pPr>
        <w:ind w:left="1980" w:right="40"/>
        <w:spacing w:after="0" w:line="257" w:lineRule="auto"/>
        <w:rPr>
          <w:sz w:val="20"/>
          <w:szCs w:val="20"/>
          <w:color w:val="auto"/>
        </w:rPr>
      </w:pPr>
      <w:r>
        <w:rPr>
          <w:rFonts w:ascii="Arial" w:cs="Arial" w:eastAsia="Arial" w:hAnsi="Arial"/>
          <w:sz w:val="18"/>
          <w:szCs w:val="18"/>
          <w:color w:val="auto"/>
        </w:rPr>
        <w:t>Healthcare Fund I directly owns 542,029 shares of Common Stock, which represents approximately 9.8% of the outstanding shares of Common Stock. Healthcare Fund I GP LLC is the general partner of Healthcare Fund I GP LP, which is the general partner of Healthcare Fund I. Halsted and Boggs are the managing members of Healthcare Fund I GP LLC. As such, each of Healthcare Fund I GP LP, Healthcare Fund I GP LLC, Halsted and Boggs be deemed to beneficially own the shares of Common Stock held directly by Healthcare Fund I.</w:t>
      </w:r>
    </w:p>
    <w:p>
      <w:pPr>
        <w:spacing w:after="0" w:line="215" w:lineRule="exact"/>
        <w:rPr>
          <w:sz w:val="20"/>
          <w:szCs w:val="20"/>
          <w:color w:val="auto"/>
        </w:rPr>
      </w:pPr>
    </w:p>
    <w:p>
      <w:pPr>
        <w:ind w:left="1960" w:hanging="979"/>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6240" w:type="dxa"/>
            <w:vAlign w:val="bottom"/>
            <w:vMerge w:val="restart"/>
          </w:tcPr>
          <w:p>
            <w:pPr>
              <w:spacing w:after="0"/>
              <w:rPr>
                <w:sz w:val="14"/>
                <w:szCs w:val="14"/>
                <w:color w:val="auto"/>
              </w:rPr>
            </w:pPr>
          </w:p>
        </w:tc>
        <w:tc>
          <w:tcPr>
            <w:tcW w:w="25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2"/>
              </w:rPr>
              <w:t>Number of Shares of Common Stock</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6240" w:type="dxa"/>
            <w:vAlign w:val="bottom"/>
            <w:vMerge w:val="continue"/>
          </w:tcPr>
          <w:p>
            <w:pPr>
              <w:spacing w:after="0"/>
              <w:rPr>
                <w:sz w:val="12"/>
                <w:szCs w:val="12"/>
                <w:color w:val="auto"/>
              </w:rPr>
            </w:pPr>
          </w:p>
        </w:tc>
        <w:tc>
          <w:tcPr>
            <w:tcW w:w="100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(i)</w:t>
            </w:r>
          </w:p>
        </w:tc>
        <w:tc>
          <w:tcPr>
            <w:tcW w:w="5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(ii)</w:t>
            </w:r>
          </w:p>
        </w:tc>
        <w:tc>
          <w:tcPr>
            <w:tcW w:w="100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(iii)</w:t>
            </w:r>
          </w:p>
        </w:tc>
        <w:tc>
          <w:tcPr>
            <w:tcW w:w="2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Fund I</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542,029</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542,029</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Healthcare Fund I GP LP</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542,029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542,029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Fund I GP LLC</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542,029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542,029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Halsted</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542,029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542,029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Boggs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542,029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542,029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960" w:hanging="533"/>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23" w:lineRule="exact"/>
        <w:rPr>
          <w:rFonts w:ascii="Arial" w:cs="Arial" w:eastAsia="Arial" w:hAnsi="Arial"/>
          <w:sz w:val="18"/>
          <w:szCs w:val="18"/>
          <w:color w:val="auto"/>
        </w:rPr>
      </w:pPr>
    </w:p>
    <w:p>
      <w:pPr>
        <w:ind w:left="1960" w:hanging="533"/>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9" w:lineRule="exact"/>
        <w:rPr>
          <w:rFonts w:ascii="Arial" w:cs="Arial" w:eastAsia="Arial" w:hAnsi="Arial"/>
          <w:sz w:val="18"/>
          <w:szCs w:val="18"/>
          <w:color w:val="auto"/>
        </w:rPr>
      </w:pPr>
    </w:p>
    <w:p>
      <w:pPr>
        <w:ind w:left="1960" w:hanging="533"/>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9" w:lineRule="exact"/>
        <w:rPr>
          <w:rFonts w:ascii="Arial" w:cs="Arial" w:eastAsia="Arial" w:hAnsi="Arial"/>
          <w:sz w:val="18"/>
          <w:szCs w:val="18"/>
          <w:color w:val="auto"/>
        </w:rPr>
      </w:pPr>
    </w:p>
    <w:p>
      <w:pPr>
        <w:ind w:left="1960" w:hanging="533"/>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03"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The percentage of class was calculated based on 5,517,754 shares of Common Stock outstanding as of March 20, 2023, as reported in the Issuer’s Current Report on Form 8-K filed with the Securities and Exchange Commission on March 22, 2023.</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70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98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0" w:right="439" w:bottom="1440" w:gutter="0" w:footer="0" w:header="0"/>
          <w:type w:val="continuous"/>
        </w:sectPr>
      </w:pPr>
    </w:p>
    <w:bookmarkStart w:id="8" w:name="page9"/>
    <w:bookmarkEnd w:id="8"/>
    <w:p>
      <w:pPr>
        <w:spacing w:after="0"/>
        <w:tabs>
          <w:tab w:leader="none" w:pos="504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38942Q202</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9 of 10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REVELATION HEALTHCARE FUND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Revelation Healthcare Fund 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Revelation Healthcare Fund 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Boggs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REVELATION HEALTHCARE FUND 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Revelation Healthcare Fund 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Boggs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REVELATION HEALTHCARE FUND I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Boggs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Scott Halsted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HALSTED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BOGGS</w:t>
      </w:r>
    </w:p>
    <w:p>
      <w:pPr>
        <w:sectPr>
          <w:pgSz w:w="11900" w:h="16838" w:orient="portrait"/>
          <w:cols w:equalWidth="0" w:num="1">
            <w:col w:w="11020"/>
          </w:cols>
          <w:pgMar w:left="440" w:top="270" w:right="439" w:bottom="1440" w:gutter="0" w:footer="0" w:header="0"/>
        </w:sectPr>
      </w:pPr>
    </w:p>
    <w:bookmarkStart w:id="9" w:name="page10"/>
    <w:bookmarkEnd w:id="9"/>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99.1  Joint Filing Statement</w:t>
      </w:r>
    </w:p>
    <w:p>
      <w:pPr>
        <w:sectPr>
          <w:pgSz w:w="11900" w:h="16838" w:orient="portrait"/>
          <w:cols w:equalWidth="0" w:num="1">
            <w:col w:w="10019"/>
          </w:cols>
          <w:pgMar w:left="440"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REVELATION HEALTHCARE FUND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Revelation Healthcare Fund 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Revelation Healthcare Fund 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Boggs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REVELATION HEALTHCARE FUND 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Revelation Healthcare Fund 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Boggs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REVELATION HEALTHCARE FUND I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Boggs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Scott Halsted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HALSTED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BOGGS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lvl w:ilvl="1">
      <w:lvlJc w:val="left"/>
      <w:lvlText w:val="(%2)"/>
      <w:numFmt w:val="lowerRoman"/>
      <w:start w:val="1"/>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2023-03-30T15:11:51Z</dcterms:created>
  <dcterms:modified xsi:type="dcterms:W3CDTF">2023-03-30T15:11:51Z</dcterms:modified>
</cp:coreProperties>
</file>