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ALAFI CAPITAL CO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ADMIRAL DRIVE, SUITE 324</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CalciMedica, Inc.</w:t>
              </w:r>
            </w:hyperlink>
            <w:r>
              <w:rPr/>
              <w:t xml:space="preserve"> [ </w:t>
            </w:r>
            <w:r>
              <w:rPr>
                <w:rFonts w:ascii="Times;serif" w:hAnsi="Times;serif"/>
                <w:color w:val="0000FF"/>
                <w:sz w:val="24"/>
                <w:shd w:fill="FFFFFF" w:val="clear"/>
              </w:rPr>
              <w:t>CALC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5,112,345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7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6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3,529,192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3,529,192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3,529,192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Warrants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3,529,192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3,529,192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3,529,192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 date of the Series A Warrants is August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expiration of these Series A Warrants is the earlier of (i) 18 months after the closing date of the Private Placement and (ii) 30 days following the Issuer's public announcement of the clearance of its Investigational New Drug Application by the U.S. Food and Drug Administration for CM5480.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issue date of the Series B Warrants is August 19,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D. Alafi, as managing member of Alafi Capital Company,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6017" TargetMode="External"/><Relationship Id="rId5" Type="http://schemas.openxmlformats.org/officeDocument/2006/relationships/hyperlink" Target="http://www.sec.gov/cgi-bin/browse-edgar?action=getcompany&amp;CIK=0001534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3578</Characters>
  <CharactersWithSpaces>4161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