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742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74255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Leheny A. Rachel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80"/>
        <w:spacing w:after="0" w:line="336" w:lineRule="auto"/>
        <w:rPr>
          <w:sz w:val="20"/>
          <w:szCs w:val="20"/>
          <w:color w:val="auto"/>
        </w:rPr>
      </w:pPr>
      <w:r>
        <w:rPr>
          <w:rFonts w:ascii="Times New Roman" w:cs="Times New Roman" w:eastAsia="Times New Roman" w:hAnsi="Times New Roman"/>
          <w:sz w:val="17"/>
          <w:szCs w:val="17"/>
          <w:color w:val="0000FF"/>
        </w:rPr>
        <w:t>C/O CALCIMEDICA, INC. 505 COAST BLVD. S. #307</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CalciMedica,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CALC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06/25/2026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265"/>
          </w:cols>
          <w:pgMar w:left="460" w:top="219" w:right="43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LA JOLLA</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92037</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08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9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3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3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06/25/2026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186,729</w:t>
            </w:r>
          </w:p>
        </w:tc>
        <w:tc>
          <w:tcPr>
            <w:tcW w:w="120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 xml:space="preserve">A   </w:t>
            </w:r>
            <w:r>
              <w:rPr>
                <w:rFonts w:ascii="Arial" w:cs="Arial" w:eastAsia="Arial" w:hAnsi="Arial"/>
                <w:sz w:val="17"/>
                <w:szCs w:val="17"/>
                <w:color w:val="000000"/>
              </w:rPr>
              <w:t>$</w:t>
            </w:r>
            <w:r>
              <w:rPr>
                <w:rFonts w:ascii="Times New Roman" w:cs="Times New Roman" w:eastAsia="Times New Roman" w:hAnsi="Times New Roman"/>
                <w:sz w:val="17"/>
                <w:szCs w:val="17"/>
                <w:color w:val="0000FF"/>
              </w:rPr>
              <w:t>0.8033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317,655</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Scheibler-</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3,500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Leheny</w:t>
            </w:r>
          </w:p>
        </w:tc>
        <w:tc>
          <w:tcPr>
            <w:tcW w:w="0" w:type="dxa"/>
            <w:vAlign w:val="bottom"/>
          </w:tcPr>
          <w:p>
            <w:pPr>
              <w:spacing w:after="0"/>
              <w:rPr>
                <w:sz w:val="1"/>
                <w:szCs w:val="1"/>
                <w:color w:val="auto"/>
              </w:rPr>
            </w:pPr>
          </w:p>
        </w:tc>
      </w:tr>
      <w:tr>
        <w:trPr>
          <w:trHeight w:val="120"/>
        </w:trPr>
        <w:tc>
          <w:tcPr>
            <w:tcW w:w="236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93"/>
        </w:trPr>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Spouse</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Valence</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356,989</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20"/>
        </w:trPr>
        <w:tc>
          <w:tcPr>
            <w:tcW w:w="236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SPV IV,</w:t>
            </w:r>
          </w:p>
        </w:tc>
        <w:tc>
          <w:tcPr>
            <w:tcW w:w="0" w:type="dxa"/>
            <w:vAlign w:val="bottom"/>
          </w:tcPr>
          <w:p>
            <w:pPr>
              <w:spacing w:after="0"/>
              <w:rPr>
                <w:sz w:val="1"/>
                <w:szCs w:val="1"/>
                <w:color w:val="auto"/>
              </w:rPr>
            </w:pPr>
          </w:p>
        </w:tc>
      </w:tr>
      <w:tr>
        <w:trPr>
          <w:trHeight w:val="93"/>
        </w:trPr>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Valence</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66,228</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20"/>
        </w:trPr>
        <w:tc>
          <w:tcPr>
            <w:tcW w:w="236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SPV V,</w:t>
            </w:r>
          </w:p>
        </w:tc>
        <w:tc>
          <w:tcPr>
            <w:tcW w:w="0" w:type="dxa"/>
            <w:vAlign w:val="bottom"/>
          </w:tcPr>
          <w:p>
            <w:pPr>
              <w:spacing w:after="0"/>
              <w:rPr>
                <w:sz w:val="1"/>
                <w:szCs w:val="1"/>
                <w:color w:val="auto"/>
              </w:rPr>
            </w:pPr>
          </w:p>
        </w:tc>
      </w:tr>
      <w:tr>
        <w:trPr>
          <w:trHeight w:val="93"/>
        </w:trPr>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(2)</w:t>
            </w: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Valence</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316,109</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20"/>
        </w:trPr>
        <w:tc>
          <w:tcPr>
            <w:tcW w:w="236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SPV VI,</w:t>
            </w:r>
          </w:p>
        </w:tc>
        <w:tc>
          <w:tcPr>
            <w:tcW w:w="0" w:type="dxa"/>
            <w:vAlign w:val="bottom"/>
          </w:tcPr>
          <w:p>
            <w:pPr>
              <w:spacing w:after="0"/>
              <w:rPr>
                <w:sz w:val="1"/>
                <w:szCs w:val="1"/>
                <w:color w:val="auto"/>
              </w:rPr>
            </w:pPr>
          </w:p>
        </w:tc>
      </w:tr>
      <w:tr>
        <w:trPr>
          <w:trHeight w:val="107"/>
        </w:trPr>
        <w:tc>
          <w:tcPr>
            <w:tcW w:w="23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060"/>
        <w:spacing w:after="0" w:line="185" w:lineRule="auto"/>
        <w:rPr>
          <w:sz w:val="20"/>
          <w:szCs w:val="20"/>
          <w:color w:val="auto"/>
        </w:rPr>
      </w:pPr>
      <w:r>
        <w:rPr>
          <w:rFonts w:ascii="Times New Roman" w:cs="Times New Roman" w:eastAsia="Times New Roman" w:hAnsi="Times New Roman"/>
          <w:sz w:val="24"/>
          <w:szCs w:val="24"/>
          <w:color w:val="0000FF"/>
          <w:vertAlign w:val="subscript"/>
        </w:rPr>
        <w:t>LLC</w:t>
      </w:r>
      <w:r>
        <w:rPr>
          <w:rFonts w:ascii="Times New Roman" w:cs="Times New Roman" w:eastAsia="Times New Roman" w:hAnsi="Times New Roman"/>
          <w:sz w:val="10"/>
          <w:szCs w:val="10"/>
          <w:color w:val="008000"/>
        </w:rPr>
        <w:t>(2)</w:t>
      </w:r>
    </w:p>
    <w:p>
      <w:pPr>
        <w:spacing w:after="0" w:line="147"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acquired from the Issuer pursuant to a Securities Purchase Agreement dated June 23, 2026, with a closing date of June 25, 2026. The Securities Purchase Agreement and the issuance of the securities thereunder was approved by an independent committee of the Issuer's Board of Directors.</w:t>
      </w:r>
    </w:p>
    <w:p>
      <w:pPr>
        <w:spacing w:after="0" w:line="7" w:lineRule="exact"/>
        <w:rPr>
          <w:rFonts w:ascii="Times New Roman" w:cs="Times New Roman" w:eastAsia="Times New Roman" w:hAnsi="Times New Roman"/>
          <w:sz w:val="13"/>
          <w:szCs w:val="13"/>
          <w:color w:val="008000"/>
        </w:rPr>
      </w:pPr>
    </w:p>
    <w:p>
      <w:pPr>
        <w:ind w:left="40" w:right="1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a co-founder and managing director of Valence Investments SPV IV, LLC ("Valence IV"), Valence Investments SPV V, LLC ("Valence V") and Valence Investments SPV VI, LLC (Valence VI), may be deemed to beneficially own the securities held by Valence IV, Valence V and Valence VI (the "Valence Securities"). The Reporting Person disclaims beneficial ownership of the Valence Securities except to the extent of her pecuniary interest therein.</w:t>
      </w:r>
    </w:p>
    <w:p>
      <w:pPr>
        <w:sectPr>
          <w:pgSz w:w="11900" w:h="16838" w:orient="portrait"/>
          <w:cols w:equalWidth="0" w:num="1">
            <w:col w:w="11000"/>
          </w:cols>
          <w:pgMar w:left="460" w:top="219" w:right="439" w:bottom="0" w:gutter="0" w:footer="0" w:header="0"/>
          <w:type w:val="continuous"/>
        </w:sectPr>
      </w:pPr>
    </w:p>
    <w:p>
      <w:pPr>
        <w:spacing w:after="0" w:line="45"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/s/ John Dunn, Attorney-in-</w:t>
      </w:r>
      <w:r>
        <w:rPr>
          <w:sz w:val="20"/>
          <w:szCs w:val="20"/>
          <w:color w:val="auto"/>
        </w:rPr>
        <w:tab/>
      </w:r>
      <w:r>
        <w:rPr>
          <w:rFonts w:ascii="Times New Roman" w:cs="Times New Roman" w:eastAsia="Times New Roman" w:hAnsi="Times New Roman"/>
          <w:sz w:val="17"/>
          <w:szCs w:val="17"/>
          <w:color w:val="0000FF"/>
        </w:rPr>
        <w:t>06/29/2026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ectPr>
          <w:pgSz w:w="11900" w:h="16838" w:orient="portrait"/>
          <w:cols w:equalWidth="0" w:num="1">
            <w:col w:w="11000"/>
          </w:cols>
          <w:pgMar w:left="460" w:top="219" w:right="43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5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84729" TargetMode="External"/><Relationship Id="rId14" Type="http://schemas.openxmlformats.org/officeDocument/2006/relationships/hyperlink" Target="http://www.sec.gov/cgi-bin/browse-edgar?action=getcompany&amp;CIK=0001534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2026-06-29T07:46:52Z</dcterms:created>
  <dcterms:modified xsi:type="dcterms:W3CDTF">2026-06-29T07:46:52Z</dcterms:modified>
</cp:coreProperties>
</file>