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288ddef14a.htm"/>
        <w:bookmarkStart w:id="1" w:name="ksd28288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14a-101)</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45"/>
        <w:gridCol w:w="1550"/>
      </w:tblGrid>
      <w:tr>
        <w:trPr/>
        <w:tc>
          <w:tcPr>
            <w:tcW w:w="245" w:type="dxa"/>
            <w:tcBorders/>
            <w:vAlign w:val="center"/>
          </w:tcPr>
          <w:p>
            <w:pPr>
              <w:pStyle w:val="TableContents"/>
              <w:bidi w:val="0"/>
              <w:spacing w:before="0" w:after="0"/>
              <w:jc w:val="left"/>
              <w:rPr/>
            </w:pPr>
            <w:r>
              <w:rPr/>
              <w:t>☐</w:t>
            </w:r>
          </w:p>
        </w:tc>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w:t>
            </w:r>
          </w:p>
          <w:p>
            <w:pPr>
              <w:pStyle w:val="TableContents"/>
              <w:bidi w:val="0"/>
              <w:spacing w:before="0" w:after="0"/>
              <w:jc w:val="left"/>
              <w:rPr>
                <w:rFonts w:ascii="Times New Roman" w:hAnsi="Times New Roman"/>
                <w:sz w:val="20"/>
              </w:rPr>
            </w:pPr>
            <w:r>
              <w:rPr>
                <w:rFonts w:ascii="Times New Roman" w:hAnsi="Times New Roman"/>
                <w:sz w:val="20"/>
              </w:rPr>
              <w:t>Statement</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0"/>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36"/>
        </w:rPr>
      </w:pPr>
      <w:r>
        <w:rPr>
          <w:rFonts w:ascii="Times New Roman" w:hAnsi="Times New Roman"/>
          <w:b/>
          <w:sz w:val="36"/>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w:t>
      </w:r>
    </w:p>
    <w:p>
      <w:pPr>
        <w:pStyle w:val="TextBody"/>
        <w:bidi w:val="0"/>
        <w:spacing w:before="0" w:after="0"/>
        <w:jc w:val="center"/>
        <w:rPr>
          <w:rFonts w:ascii="Times New Roman" w:hAnsi="Times New Roman"/>
          <w:b/>
          <w:sz w:val="20"/>
        </w:rPr>
      </w:pPr>
      <w:r>
        <w:rPr>
          <w:rFonts w:ascii="Times New Roman" w:hAnsi="Times New Roman"/>
          <w:b/>
          <w:sz w:val="20"/>
        </w:rPr>
        <w:t>Registrant</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505 Coast Boulevard South, Suite 300-9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 92037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Wednesday, August 19, 2026 </w:t>
      </w:r>
    </w:p>
    <w:p>
      <w:pPr>
        <w:pStyle w:val="TextBody"/>
        <w:bidi w:val="0"/>
        <w:spacing w:before="240" w:after="0"/>
        <w:jc w:val="both"/>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NOTICE IS HEREBY GIVEN that the 2026 Annual Meeting of Stockholders (the “2026 Annual Meeting”) of CalciMedica, Inc. (the “Company”) will be held via a virtual meeting. You will be able to participate in the 2026 Annual Meeting and vote via live webcast by visiting www.proxydocs.com/CALC on Wednesday, August 19, 2026 at 9:00 a.m. (Pacific Time). We believe that a virtual stockholder meeting provides greater access to those who may want to attend, and therefore we have chosen this over an in-person meeting. It is important that you retain a copy of the 12 digit control number found on your proxy card or voting instruction form, as such number will be required in order for stockholders to gain access to the 2026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We are holding the 2026 Annual Meeting for the following purposes, which are more fully described in the accompanying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1. To elect the Board’s two nominees for Class III directors, each to serve a three-year term through the 2029 annual meeting of stockholders following this meeting and until a successor has been elected and qualified, or until their earlier death,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2. To ratify the appointment of Baker Tilly US, LLP as our independent registered public accounting firm for the fiscal year ending December 31, 2026. </w:t>
      </w:r>
    </w:p>
    <w:p>
      <w:pPr>
        <w:pStyle w:val="TextBody"/>
        <w:bidi w:val="0"/>
        <w:spacing w:before="240" w:after="0"/>
        <w:jc w:val="both"/>
        <w:rPr>
          <w:rFonts w:ascii="Times New Roman" w:hAnsi="Times New Roman"/>
          <w:sz w:val="20"/>
        </w:rPr>
      </w:pPr>
      <w:r>
        <w:rPr>
          <w:rFonts w:ascii="Times New Roman" w:hAnsi="Times New Roman"/>
          <w:sz w:val="20"/>
        </w:rPr>
        <w:t xml:space="preserve">3. To approve an amendment to the CalciMedica, Inc. Amended 2023 Equity Incentive Plan (the “2023 Plan”), to, among other things, increase the number of shares of our common stock authorized for issuance under the 2023 Plan by 7,500,000 shares and include in the calculation of the annual automatic share reserve increase shares of common stock issuable upon conversion or exercise of convertible preferred stock and pre-funded warrants, as applicable. </w:t>
      </w:r>
    </w:p>
    <w:p>
      <w:pPr>
        <w:pStyle w:val="TextBody"/>
        <w:bidi w:val="0"/>
        <w:spacing w:before="240" w:after="0"/>
        <w:jc w:val="both"/>
        <w:rPr>
          <w:rFonts w:ascii="Times New Roman" w:hAnsi="Times New Roman"/>
          <w:sz w:val="20"/>
        </w:rPr>
      </w:pPr>
      <w:r>
        <w:rPr>
          <w:rFonts w:ascii="Times New Roman" w:hAnsi="Times New Roman"/>
          <w:sz w:val="20"/>
        </w:rPr>
        <w:t xml:space="preserve">4. To approve on an advisory basis, the compensation of the Company’s named executive officers, as disclosed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5. To indicate, on an advisory basis, the preferred frequency of stockholder advisory votes on the compensation of the Company’s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6. To approve an amendment to our amended and restated certificate of incorporation, as amended, (the “Certificate of Incorporation”) to effect a reverse stock split of our common stock at a ratio in the range of 1-for-2 to 1-for-10, inclusive, and a corresponding proportionate reduction in the total number of authorized shares of the Company’s common stock, with such ratio to be determined in the discretion of our Board of Directors and with such reverse stock split and proportionate reduction in authorized shares to be effected at such time and date, if at all, as determined by our Board of Directors in its sole discretion. </w:t>
      </w:r>
    </w:p>
    <w:p>
      <w:pPr>
        <w:pStyle w:val="TextBody"/>
        <w:bidi w:val="0"/>
        <w:spacing w:before="240" w:after="0"/>
        <w:jc w:val="both"/>
        <w:rPr>
          <w:rFonts w:ascii="Times New Roman" w:hAnsi="Times New Roman"/>
          <w:sz w:val="20"/>
        </w:rPr>
      </w:pPr>
      <w:r>
        <w:rPr>
          <w:rFonts w:ascii="Times New Roman" w:hAnsi="Times New Roman"/>
          <w:sz w:val="20"/>
        </w:rPr>
        <w:t xml:space="preserve">7. To approve, for purposes of complying with Nasdaq Listing Rule 5635(d): (a) the issuance of Series A Warrants to purchase up to an aggregate of 18,673,429 shares of common stock and Series B Warrants to purchase up to an aggregate of 18,673,429 shares of common stock pursuant to the Securities Purchase Agreement, dated June 23, 2026 (the “Purchase Agreement”), among the Company and certain investors, including certain directors and officers of the Company; and (b) the issuance of shares of common stock upon exercise of such warrants, or in lieu thereof, pre-funded warrants to purchase shares of common stock and the shares of common stock issuable upon exercise thereof.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8. To approve, for purposes of complying with Nasdaq Listing Rule 5635(c): (a) the issuance of Series A Warrants to purchase up to an aggregate of 1,680,565 shares of common stock and Series B Warrants to purchase up to an aggregate of 1,680,565 shares of common stock, in each case of the Series A Warrants and Series B Warrants described in Proposal 7, to certain directors and officers of the Company pursuant to the Purchase Agreement; and (b) the issuance of shares of common stock upon exercise of such warrants, or in lieu thereof, pre-funded warrants to purchase shares of common stock and the shares of common stock issuable upon exercise thereof. </w:t>
      </w:r>
    </w:p>
    <w:p>
      <w:pPr>
        <w:pStyle w:val="TextBody"/>
        <w:bidi w:val="0"/>
        <w:spacing w:before="240" w:after="0"/>
        <w:jc w:val="both"/>
        <w:rPr>
          <w:rFonts w:ascii="Times New Roman" w:hAnsi="Times New Roman"/>
          <w:sz w:val="20"/>
        </w:rPr>
      </w:pPr>
      <w:r>
        <w:rPr>
          <w:rFonts w:ascii="Times New Roman" w:hAnsi="Times New Roman"/>
          <w:sz w:val="20"/>
        </w:rPr>
        <w:t xml:space="preserve">In addition, stockholders may be asked to consider and vote upon such other business as may properly come before the 2026 Annual Meeting or any adjournment or postponement thereof. The items of business are more fully described in the Proxy Statement accompanying this Notice. </w:t>
      </w:r>
    </w:p>
    <w:p>
      <w:pPr>
        <w:pStyle w:val="TextBody"/>
        <w:bidi w:val="0"/>
        <w:spacing w:before="240" w:after="0"/>
        <w:jc w:val="both"/>
        <w:rPr>
          <w:rFonts w:ascii="Times New Roman" w:hAnsi="Times New Roman"/>
          <w:sz w:val="20"/>
        </w:rPr>
      </w:pPr>
      <w:r>
        <w:rPr>
          <w:rFonts w:ascii="Times New Roman" w:hAnsi="Times New Roman"/>
          <w:sz w:val="20"/>
        </w:rPr>
        <w:t xml:space="preserve">Only stockholders of record at the close of business on July 21, 2026 (the “Record Date”) are entitled to receive notice of, and to vote at, the 2026 Annual Meeting and any adjournments thereof. </w:t>
      </w:r>
    </w:p>
    <w:p>
      <w:pPr>
        <w:pStyle w:val="TextBody"/>
        <w:bidi w:val="0"/>
        <w:spacing w:before="240" w:after="0"/>
        <w:jc w:val="both"/>
        <w:rPr>
          <w:rFonts w:ascii="Times New Roman" w:hAnsi="Times New Roman"/>
          <w:sz w:val="20"/>
        </w:rPr>
      </w:pPr>
      <w:r>
        <w:rPr>
          <w:rFonts w:ascii="Times New Roman" w:hAnsi="Times New Roman"/>
          <w:sz w:val="20"/>
        </w:rPr>
        <w:t xml:space="preserve">Your vote as a stockholder of the Company is very important. Each share of common stock that you own represents one vote. </w:t>
      </w:r>
    </w:p>
    <w:p>
      <w:pPr>
        <w:pStyle w:val="TextBody"/>
        <w:bidi w:val="0"/>
        <w:spacing w:before="240" w:after="0"/>
        <w:jc w:val="both"/>
        <w:rPr>
          <w:rFonts w:ascii="Times New Roman" w:hAnsi="Times New Roman"/>
          <w:sz w:val="20"/>
        </w:rPr>
      </w:pPr>
      <w:r>
        <w:rPr>
          <w:rFonts w:ascii="Times New Roman" w:hAnsi="Times New Roman"/>
          <w:sz w:val="20"/>
        </w:rPr>
        <w:t xml:space="preserve">Whether or not you expect to attend the 2026 Annual Meeting, we encourage you to read the proxy statement and vote through the internet or by telephone, or to sign and return your proxy card as soon as possible, so that your shares may be represented at the 2026 Annual Meeting. For specific instructions on how to vote your shares, please refer to the section entitled “General Proxy Information” in the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both"/>
        <w:rPr/>
      </w:pPr>
      <w:r>
        <w:rPr/>
        <w:drawing>
          <wp:inline distT="0" distB="0" distL="0" distR="0">
            <wp:extent cx="7429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247650"/>
                    </a:xfrm>
                    <a:prstGeom prst="rect">
                      <a:avLst/>
                    </a:prstGeom>
                  </pic:spPr>
                </pic:pic>
              </a:graphicData>
            </a:graphic>
          </wp:inline>
        </w:drawing>
      </w: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 Rachel Leheny, Ph.D.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360" w:after="0"/>
        <w:jc w:val="left"/>
        <w:rPr>
          <w:rFonts w:ascii="Times New Roman" w:hAnsi="Times New Roman"/>
          <w:sz w:val="20"/>
        </w:rPr>
      </w:pPr>
      <w:r>
        <w:rPr>
          <w:rFonts w:ascii="Times New Roman" w:hAnsi="Times New Roman"/>
          <w:sz w:val="20"/>
        </w:rPr>
        <w:t xml:space="preserve">La Jolla, California </w:t>
      </w:r>
    </w:p>
    <w:p>
      <w:pPr>
        <w:pStyle w:val="TextBody"/>
        <w:bidi w:val="0"/>
        <w:spacing w:before="0" w:after="0"/>
        <w:jc w:val="left"/>
        <w:rPr>
          <w:rFonts w:ascii="Times New Roman" w:hAnsi="Times New Roman"/>
          <w:sz w:val="20"/>
        </w:rPr>
      </w:pPr>
      <w:r>
        <w:rPr>
          <w:rFonts w:ascii="Times New Roman" w:hAnsi="Times New Roman"/>
          <w:sz w:val="20"/>
        </w:rPr>
        <w:t xml:space="preserve">July 23, 2026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8" w:space="2" w:color="000000"/>
        </w:rPr>
      </w:pPr>
      <w:r>
        <w:rPr>
          <w:rFonts w:ascii="Times New Roman" w:hAnsi="Times New Roman"/>
          <w:b/>
          <w:sz w:val="20"/>
          <w:bdr w:val="single" w:sz="8" w:space="2" w:color="000000"/>
        </w:rPr>
        <w:t xml:space="preserve">Important Notice Regarding the Availability of Proxy Materials for the virtual Annual Meeting of Stockholders to be held on August 19, 2026 at 9:00 a.m. (Pacific Time) </w:t>
      </w:r>
    </w:p>
    <w:p>
      <w:pPr>
        <w:pStyle w:val="TextBody"/>
        <w:bidi w:val="0"/>
        <w:spacing w:before="0" w:after="0"/>
        <w:jc w:val="center"/>
        <w:rPr>
          <w:rFonts w:ascii="Times New Roman" w:hAnsi="Times New Roman"/>
          <w:b/>
          <w:sz w:val="20"/>
          <w:bdr w:val="single" w:sz="8" w:space="2" w:color="000000"/>
        </w:rPr>
      </w:pPr>
      <w:r>
        <w:rPr>
          <w:rFonts w:ascii="Times New Roman" w:hAnsi="Times New Roman"/>
          <w:b/>
          <w:sz w:val="20"/>
          <w:bdr w:val="single" w:sz="8" w:space="2" w:color="000000"/>
        </w:rPr>
        <w:t xml:space="preserve">The Proxy Statement and our 2025 Annual Report on Form 10-K are being delivered to stockholders with this notice. The Proxy Statement and our 2025 Annual Report on Form 10-K are also available at </w:t>
      </w:r>
    </w:p>
    <w:p>
      <w:pPr>
        <w:pStyle w:val="TextBody"/>
        <w:pBdr/>
        <w:bidi w:val="0"/>
        <w:spacing w:before="0" w:after="0"/>
        <w:jc w:val="center"/>
        <w:rPr>
          <w:rFonts w:ascii="Times New Roman" w:hAnsi="Times New Roman"/>
          <w:b/>
          <w:sz w:val="20"/>
          <w:bdr w:val="single" w:sz="8" w:space="2" w:color="000000"/>
        </w:rPr>
      </w:pPr>
      <w:r>
        <w:rPr>
          <w:rFonts w:ascii="Times New Roman" w:hAnsi="Times New Roman"/>
          <w:b/>
          <w:sz w:val="20"/>
          <w:bdr w:val="single" w:sz="8" w:space="2" w:color="000000"/>
        </w:rPr>
        <w:t xml:space="preserve">www.proxydocs.com/CALC.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2"/>
        <w:gridCol w:w="423"/>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
              <w:r>
                <w:rPr>
                  <w:rStyle w:val="InternetLink"/>
                  <w:rFonts w:ascii="Times New Roman" w:hAnsi="Times New Roman"/>
                  <w:b/>
                  <w:sz w:val="20"/>
                </w:rPr>
                <w:t>INFORMATION ABOUT SOLICITATION AND VOTING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3">
              <w:r>
                <w:rPr>
                  <w:rStyle w:val="InternetLink"/>
                  <w:rFonts w:ascii="Times New Roman" w:hAnsi="Times New Roman"/>
                  <w:b/>
                  <w:sz w:val="20"/>
                </w:rPr>
                <w:t>GENERAL INFORMATION ABOUT THE ANNUAL MEETING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4">
              <w:r>
                <w:rPr>
                  <w:rStyle w:val="InternetLink"/>
                  <w:rFonts w:ascii="Times New Roman" w:hAnsi="Times New Roman"/>
                  <w:b/>
                  <w:sz w:val="20"/>
                </w:rPr>
                <w:t>GENERAL PROXY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
              <w:r>
                <w:rPr>
                  <w:rStyle w:val="InternetLink"/>
                  <w:rFonts w:ascii="Times New Roman" w:hAnsi="Times New Roman"/>
                  <w:b/>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5">
              <w:r>
                <w:rPr>
                  <w:rStyle w:val="InternetLink"/>
                  <w:rFonts w:ascii="Times New Roman" w:hAnsi="Times New Roman"/>
                  <w:b/>
                  <w:sz w:val="20"/>
                </w:rPr>
                <w:t>BOARD OF DIRECTORS AND COMMITTEES OF THE BOARD OF DIRECTORS; CORPORATE GOVERNANCE STANDARDS AND DIRECTOR INDEPENDENCE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6">
              <w:r>
                <w:rPr>
                  <w:rStyle w:val="InternetLink"/>
                  <w:rFonts w:ascii="Times New Roman" w:hAnsi="Times New Roman"/>
                  <w:b/>
                  <w:sz w:val="20"/>
                </w:rPr>
                <w:t>PROPOSAL NO. 1 ELECTION OF CLASS III DIRECTORS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7">
              <w:r>
                <w:rPr>
                  <w:rStyle w:val="InternetLink"/>
                  <w:rFonts w:ascii="Times New Roman" w:hAnsi="Times New Roman"/>
                  <w:b/>
                  <w:sz w:val="20"/>
                </w:rPr>
                <w:t>PROPOSAL NO.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8">
              <w:r>
                <w:rPr>
                  <w:rStyle w:val="InternetLink"/>
                  <w:rFonts w:ascii="Times New Roman" w:hAnsi="Times New Roman"/>
                  <w:b/>
                  <w:sz w:val="20"/>
                </w:rPr>
                <w:t>REPORT OF THE AUDIT COMMITTEE</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9">
              <w:r>
                <w:rPr>
                  <w:rStyle w:val="InternetLink"/>
                  <w:rFonts w:ascii="Times New Roman" w:hAnsi="Times New Roman"/>
                  <w:b/>
                  <w:sz w:val="20"/>
                </w:rPr>
                <w:t>PROPOSAL NO. 3 TO APPROVE AN AMENDMENT TO THE CALCIMEDICA, INC. AMENDED 2023 EQUITY INCENTIVE PLAN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21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0">
              <w:r>
                <w:rPr>
                  <w:rStyle w:val="InternetLink"/>
                  <w:rFonts w:ascii="Times New Roman" w:hAnsi="Times New Roman"/>
                  <w:b/>
                  <w:sz w:val="20"/>
                </w:rPr>
                <w:t>PROPOSAL NO. 4 ADVISORY VOTE ON 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1">
              <w:r>
                <w:rPr>
                  <w:rStyle w:val="InternetLink"/>
                  <w:rFonts w:ascii="Times New Roman" w:hAnsi="Times New Roman"/>
                  <w:b/>
                  <w:sz w:val="20"/>
                </w:rPr>
                <w:t>PROPOSAL NO. 5 ADVISORY VOTE ON THE FREQUENCY OF SOLICITATION OF ADVISORY STOCKHOLDER APPROVAL OF 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2">
              <w:r>
                <w:rPr>
                  <w:rStyle w:val="InternetLink"/>
                  <w:rFonts w:ascii="Times New Roman" w:hAnsi="Times New Roman"/>
                  <w:b/>
                  <w:sz w:val="20"/>
                </w:rPr>
                <w:t>EXECUTIVE OFFICERS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3">
              <w:r>
                <w:rPr>
                  <w:rStyle w:val="InternetLink"/>
                  <w:rFonts w:ascii="Times New Roman" w:hAnsi="Times New Roman"/>
                  <w:b/>
                  <w:sz w:val="20"/>
                </w:rPr>
                <w:t>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36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4">
              <w:r>
                <w:rPr>
                  <w:rStyle w:val="InternetLink"/>
                  <w:rFonts w:ascii="Times New Roman" w:hAnsi="Times New Roman"/>
                  <w:b/>
                  <w:sz w:val="20"/>
                </w:rPr>
                <w:t xml:space="preserve">PROPOSAL NO. 6 REVERSE STOCK SPLIT AND AUTHORIZED SHARES REDUCTION </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46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5">
              <w:r>
                <w:rPr>
                  <w:rStyle w:val="InternetLink"/>
                  <w:rFonts w:ascii="Times New Roman" w:hAnsi="Times New Roman"/>
                  <w:b/>
                  <w:sz w:val="20"/>
                </w:rPr>
                <w:t>PROPOSAL NO. 7 NASDAQ LISTING RULE 5635(D)</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56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6">
              <w:r>
                <w:rPr>
                  <w:rStyle w:val="InternetLink"/>
                  <w:rFonts w:ascii="Times New Roman" w:hAnsi="Times New Roman"/>
                  <w:b/>
                  <w:sz w:val="20"/>
                </w:rPr>
                <w:t>PROPOSAL NO. 8 NASDAQ LISTING RULE 5635(C)</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59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7">
              <w:r>
                <w:rPr>
                  <w:rStyle w:val="InternetLink"/>
                  <w:rFonts w:ascii="Times New Roman" w:hAnsi="Times New Roman"/>
                  <w:b/>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8">
              <w:r>
                <w:rPr>
                  <w:rStyle w:val="InternetLink"/>
                  <w:rFonts w:ascii="Times New Roman" w:hAnsi="Times New Roman"/>
                  <w:b/>
                  <w:sz w:val="20"/>
                </w:rPr>
                <w:t>CERTAIN RELATIONSHIPS AND RELATED-PARTY TRANSACTIONS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19">
              <w:r>
                <w:rPr>
                  <w:rStyle w:val="InternetLink"/>
                  <w:rFonts w:ascii="Times New Roman" w:hAnsi="Times New Roman"/>
                  <w:b/>
                  <w:sz w:val="20"/>
                </w:rPr>
                <w:t>ADDITIONAL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69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0">
              <w:r>
                <w:rPr>
                  <w:rStyle w:val="InternetLink"/>
                  <w:rFonts w:ascii="Times New Roman" w:hAnsi="Times New Roman"/>
                  <w:b/>
                  <w:sz w:val="20"/>
                </w:rPr>
                <w:t>OTHER MATTERS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70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1">
              <w:r>
                <w:rPr>
                  <w:rStyle w:val="InternetLink"/>
                  <w:rFonts w:ascii="Times New Roman" w:hAnsi="Times New Roman"/>
                  <w:b/>
                  <w:sz w:val="20"/>
                </w:rPr>
                <w:t>APPENDIX A</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A-1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28288_22">
              <w:r>
                <w:rPr>
                  <w:rStyle w:val="InternetLink"/>
                  <w:rFonts w:ascii="Times New Roman" w:hAnsi="Times New Roman"/>
                  <w:b/>
                  <w:sz w:val="20"/>
                </w:rPr>
                <w:t>APPENDIX B</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b/>
              </w:rPr>
            </w:pPr>
            <w:r>
              <w:rPr>
                <w:b/>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505 Coast Boulevard South, Suite 300-9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 92037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FOR THE 2026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AUGUST 19, 2026 </w:t>
      </w:r>
    </w:p>
    <w:p>
      <w:pPr>
        <w:pStyle w:val="TextBody"/>
        <w:bidi w:val="0"/>
        <w:spacing w:before="240" w:after="0"/>
        <w:jc w:val="center"/>
        <w:rPr>
          <w:rFonts w:ascii="Times New Roman" w:hAnsi="Times New Roman"/>
          <w:b/>
          <w:sz w:val="20"/>
        </w:rPr>
      </w:pPr>
      <w:bookmarkStart w:id="3" w:name="toc28288_2"/>
      <w:bookmarkEnd w:id="3"/>
      <w:r>
        <w:rPr>
          <w:rFonts w:ascii="Times New Roman" w:hAnsi="Times New Roman"/>
          <w:b/>
          <w:sz w:val="20"/>
        </w:rPr>
        <w:t xml:space="preserve">INFORMATION ABOUT SOLICITATION AND VOTING </w:t>
      </w:r>
    </w:p>
    <w:p>
      <w:pPr>
        <w:pStyle w:val="TextBody"/>
        <w:bidi w:val="0"/>
        <w:spacing w:before="240" w:after="0"/>
        <w:jc w:val="both"/>
        <w:rPr>
          <w:rFonts w:ascii="Times New Roman" w:hAnsi="Times New Roman"/>
          <w:sz w:val="20"/>
        </w:rPr>
      </w:pPr>
      <w:r>
        <w:rPr>
          <w:rFonts w:ascii="Times New Roman" w:hAnsi="Times New Roman"/>
          <w:sz w:val="20"/>
        </w:rPr>
        <w:t xml:space="preserve">The accompanying proxy is solicited on behalf of the Board of Directors of CalciMedica, Inc. (the “Board of Directors” or “Board”) for use at the Company’s 2026 Annual Meeting of Stockholders (the “Annual Meeting”) to be held virtually at www.proxydocs.com/CALC on Wednesday, August 19, 2026 at 9:00 a.m. (Pacific Time), and any adjournment or postponement thereof. This proxy statement (“Proxy Statement”) and the accompanying form of proxy, together with our Annual Report on Form 10-K for the fiscal year ended December 31, 2025 (the “Annual Report”), are first being mailed to stockholders on or about July 23, 2026. References to our website in this Proxy Statement are not intended to function as hyperlinks and the information contained on or accessible through our website is not intended to be incorporated into this Proxy Statement. </w:t>
      </w:r>
    </w:p>
    <w:p>
      <w:pPr>
        <w:pStyle w:val="TextBody"/>
        <w:bidi w:val="0"/>
        <w:spacing w:before="480" w:after="0"/>
        <w:jc w:val="center"/>
        <w:rPr>
          <w:rFonts w:ascii="Times New Roman" w:hAnsi="Times New Roman"/>
          <w:b/>
          <w:sz w:val="20"/>
        </w:rPr>
      </w:pPr>
      <w:bookmarkStart w:id="4" w:name="toc28288_3"/>
      <w:bookmarkEnd w:id="4"/>
      <w:r>
        <w:rPr>
          <w:rFonts w:ascii="Times New Roman" w:hAnsi="Times New Roman"/>
          <w:b/>
          <w:sz w:val="20"/>
        </w:rPr>
        <w:t xml:space="preserve">GENERAL INFORMATION ABOUT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At the Annual Meeting, stockholders will act upon the proposals described in this Proxy Statement. In addition, we will consider any other matters that are properly presented for a vote at the Annual Meeting. We are not aware of any other matters to be submitted for consideration at the Annual Meeting. If any other matters are properly presented for a vote at the Annual Meeting, the persons named in the proxy, who are officers of the Company, have the authority in their discretion to vote the shares represented by the proxy.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Quorum </w:t>
      </w:r>
    </w:p>
    <w:p>
      <w:pPr>
        <w:pStyle w:val="TextBody"/>
        <w:bidi w:val="0"/>
        <w:spacing w:before="120" w:after="0"/>
        <w:jc w:val="both"/>
        <w:rPr>
          <w:rFonts w:ascii="Times New Roman" w:hAnsi="Times New Roman"/>
          <w:sz w:val="20"/>
        </w:rPr>
      </w:pPr>
      <w:r>
        <w:rPr>
          <w:rFonts w:ascii="Times New Roman" w:hAnsi="Times New Roman"/>
          <w:sz w:val="20"/>
        </w:rPr>
        <w:t xml:space="preserve">Only holders of record of common stock at the close of business on July 21, 2026 (the “Record Date”) will be entitled to vote at the Annual Meeting. At the close of business on the Record Date, there were 30,736,401 shares of common stock outstanding and entitled to vote. </w:t>
      </w:r>
    </w:p>
    <w:p>
      <w:pPr>
        <w:pStyle w:val="TextBody"/>
        <w:bidi w:val="0"/>
        <w:spacing w:before="240" w:after="0"/>
        <w:jc w:val="both"/>
        <w:rPr>
          <w:rFonts w:ascii="Times New Roman" w:hAnsi="Times New Roman"/>
          <w:sz w:val="20"/>
        </w:rPr>
      </w:pPr>
      <w:r>
        <w:rPr>
          <w:rFonts w:ascii="Times New Roman" w:hAnsi="Times New Roman"/>
          <w:sz w:val="20"/>
        </w:rPr>
        <w:t xml:space="preserve">The holders of a majority of the voting power of the shares of stock entitled to vote at the Annual Meeting as of the Record Date must be present or represented by proxy at the Annual Meeting in order to hold the Annual Meeting and conduct business. This presence is called a quorum. Your shares are counted as present online at the Annual Meeting if you are present online at the Annual Meeting or if you have properly submitted a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28288_4"/>
      <w:bookmarkEnd w:id="5"/>
      <w:r>
        <w:rPr>
          <w:rFonts w:ascii="Times New Roman" w:hAnsi="Times New Roman"/>
          <w:b/>
          <w:sz w:val="20"/>
        </w:rPr>
        <w:t xml:space="preserve">GENERAL PROXY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Required Vote </w:t>
      </w:r>
    </w:p>
    <w:p>
      <w:pPr>
        <w:pStyle w:val="TextBody"/>
        <w:bidi w:val="0"/>
        <w:spacing w:before="120" w:after="0"/>
        <w:jc w:val="both"/>
        <w:rPr>
          <w:rFonts w:ascii="Times New Roman" w:hAnsi="Times New Roman"/>
          <w:sz w:val="20"/>
        </w:rPr>
      </w:pPr>
      <w:r>
        <w:rPr>
          <w:rFonts w:ascii="Times New Roman" w:hAnsi="Times New Roman"/>
          <w:sz w:val="20"/>
        </w:rPr>
        <w:t xml:space="preserve">Each holder of shares of common stock is entitled to one vote for each share of common stock held as of the close of business on the Record Date. You may vote all shares owned by you at such date, including (1) shares held directly in your name as the stockholder of record and (2) shares held for you as the beneficial owner in street name through a broker, bank, trustee or other nominee. Dissenters’ rights are not applicable to any of the matters being voted on. </w:t>
      </w:r>
    </w:p>
    <w:p>
      <w:pPr>
        <w:pStyle w:val="TextBody"/>
        <w:bidi w:val="0"/>
        <w:spacing w:before="240" w:after="0"/>
        <w:jc w:val="both"/>
        <w:rPr>
          <w:rFonts w:ascii="Times New Roman" w:hAnsi="Times New Roman"/>
          <w:sz w:val="20"/>
        </w:rPr>
      </w:pPr>
      <w:r>
        <w:rPr>
          <w:rFonts w:ascii="Times New Roman" w:hAnsi="Times New Roman"/>
          <w:i/>
          <w:sz w:val="20"/>
        </w:rPr>
        <w:t>Stockholder of Record: Shares Registered in Your Name</w:t>
      </w:r>
      <w:r>
        <w:rPr>
          <w:rFonts w:ascii="Times New Roman" w:hAnsi="Times New Roman"/>
          <w:sz w:val="20"/>
        </w:rPr>
        <w:t xml:space="preserve">. If on the Record Date, your shares were registered directly in your name with our transfer agent, Equiniti Trust Company, LLC, then you are considered the stockholder of record with respect to those shares. As a stockholder of record, you may vote at the Annual Meeting, or vote in advance through the internet or by telephone, or by filling out and returning the proxy card enclosed with these proxy materials. </w:t>
      </w:r>
    </w:p>
    <w:p>
      <w:pPr>
        <w:pStyle w:val="TextBody"/>
        <w:bidi w:val="0"/>
        <w:spacing w:before="240" w:after="0"/>
        <w:jc w:val="both"/>
        <w:rPr>
          <w:rFonts w:ascii="Times New Roman" w:hAnsi="Times New Roman"/>
          <w:sz w:val="20"/>
        </w:rPr>
      </w:pPr>
      <w:r>
        <w:rPr>
          <w:rFonts w:ascii="Times New Roman" w:hAnsi="Times New Roman"/>
          <w:i/>
          <w:sz w:val="20"/>
        </w:rPr>
        <w:t>Beneficial Owner: Shares Registered in the Name of a Broker or Nominee</w:t>
      </w:r>
      <w:r>
        <w:rPr>
          <w:rFonts w:ascii="Times New Roman" w:hAnsi="Times New Roman"/>
          <w:sz w:val="20"/>
        </w:rPr>
        <w:t xml:space="preserve">. If on the Record Date, your shares were held in an account with a brokerage firm, 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Annual Meeting and vote your shares, you must obtain a valid proxy from the firm that holds your shares giving you the right to vote the shares at the Annual Meeting.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1 (Election of two Class</w:t>
      </w:r>
      <w:r>
        <w:rPr>
          <w:rFonts w:ascii="Times New Roman" w:hAnsi="Times New Roman"/>
          <w:sz w:val="20"/>
        </w:rPr>
        <w:t> </w:t>
      </w:r>
      <w:r>
        <w:rPr>
          <w:rFonts w:ascii="Times New Roman" w:hAnsi="Times New Roman"/>
          <w:i/>
          <w:sz w:val="20"/>
        </w:rPr>
        <w:t>III directors)</w:t>
      </w:r>
      <w:r>
        <w:rPr>
          <w:rFonts w:ascii="Times New Roman" w:hAnsi="Times New Roman"/>
          <w:sz w:val="20"/>
        </w:rPr>
        <w:t xml:space="preserve">. Each director will be elected by a plurality of the votes cast at the Annual Meeting. This means that the two individuals nominated for election to the Board of Directors at the Annual Meeting receiving the highest number of “FOR” votes will be elected. You may either vote “FOR” each of the nominees or “WITHHOLD” your vote with respect to each of the nominees. Because directors are elected by a plurality of the votes received, only votes “FOR” will affect the outcome. Shares represented by proxies will be voted “FOR” the election of each of the Class III nominees, unless the proxy is marked to withhold authority to so vote. You may not cumulate votes in the election of directors. Proxies may not be voted for more than two directors. Proposal No. 1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2 (Ratification of Independent Registered Public Accounting Firm)</w:t>
      </w:r>
      <w:r>
        <w:rPr>
          <w:rFonts w:ascii="Times New Roman" w:hAnsi="Times New Roman"/>
          <w:sz w:val="20"/>
        </w:rPr>
        <w:t xml:space="preserve">. To be approved, Proposal No. 2 must receive “FOR” votes from the holders of a majority of the voting power of the shares of stock entitled to vote on the matter that are present in person or represented by proxy at the Annual Meeting and are voted for or against the matter. Abstentions and broker non-votes will have no effect. Proposal No. 2 is considered a routine matter, and therefore no broker non-votes are expected to exist in connection with Proposal No. 2.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3 (Approval of an Amendment to 2023 Plan)</w:t>
      </w:r>
      <w:r>
        <w:rPr>
          <w:rFonts w:ascii="Times New Roman" w:hAnsi="Times New Roman"/>
          <w:sz w:val="20"/>
        </w:rPr>
        <w:t xml:space="preserve">. Pursuant to rules of the Nasdaq Stock Market LLC (“Nasdaq Listing Rules”), to be approved, Proposal No. 3 must receive “FOR” votes from a majority of the votes cast on the proposal. Abstentions and broker non-votes will have no effect. Proposal No. 3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4 (Say on Pay). </w:t>
      </w:r>
      <w:r>
        <w:rPr>
          <w:rFonts w:ascii="Times New Roman" w:hAnsi="Times New Roman"/>
          <w:sz w:val="20"/>
        </w:rPr>
        <w:t xml:space="preserve">To be approved, Proposal No. 4 must receive “FOR” votes from the holders of a majority of the voting power of the shares of stock entitled to vote on the matter that are present in person or represented by proxy at the Annual Meeting and are voted for or against the matter. Abstentions and broker non-votes will have no effect. Proposal No. 4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5 (Say on Frequency). </w:t>
      </w:r>
      <w:r>
        <w:rPr>
          <w:rFonts w:ascii="Times New Roman" w:hAnsi="Times New Roman"/>
          <w:sz w:val="20"/>
        </w:rPr>
        <w:t xml:space="preserve">The proposed voting frequency that receives affirmative votes from a majority of the votes cast on Proposal No. 5 (excluding abstentions and broker non-votes) will be deemed the frequency preferred by our stockholders. Abstentions and broker non-votes will have no effect. Proposal No. 5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considered a non-routine matter. If none of the proposed voting frequencies receives affirmative votes from a majority of the votes cast on Proposal No. 5 (excluding abstentions and broker non-votes), we will consider the frequency receiving the highest number of affirmative votes to be the frequency preferred by our stockholders.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6 (Reverse Stock Split and Authorized Shares Reduction)</w:t>
      </w:r>
      <w:r>
        <w:rPr>
          <w:rFonts w:ascii="Times New Roman" w:hAnsi="Times New Roman"/>
          <w:sz w:val="20"/>
        </w:rPr>
        <w:t xml:space="preserve">. To be approved, the votes cast “FOR” Proposal No. 6 must exceed the votes cast “AGAINST” Proposal No. 6. Abstentions and broker non-votes will have no effect. Proposal No. 6 is considered a 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7 (Warrant Issuance)</w:t>
      </w:r>
      <w:r>
        <w:rPr>
          <w:rFonts w:ascii="Times New Roman" w:hAnsi="Times New Roman"/>
          <w:sz w:val="20"/>
        </w:rPr>
        <w:t xml:space="preserve">. Pursuant to the Nasdaq Listing Rules, to be approved, Proposal No. 7 must receive “FOR” votes from the holders of a majority of the votes cast on the proposal. Abstentions and broker non-votes will have no effect. Proposal No. 7 is considered a non-routine matter. </w:t>
      </w:r>
    </w:p>
    <w:p>
      <w:pPr>
        <w:pStyle w:val="TextBody"/>
        <w:bidi w:val="0"/>
        <w:spacing w:before="240" w:after="0"/>
        <w:jc w:val="both"/>
        <w:rPr>
          <w:rFonts w:ascii="Times New Roman" w:hAnsi="Times New Roman"/>
          <w:sz w:val="20"/>
        </w:rPr>
      </w:pPr>
      <w:r>
        <w:rPr>
          <w:rFonts w:ascii="Times New Roman" w:hAnsi="Times New Roman"/>
          <w:i/>
          <w:sz w:val="20"/>
        </w:rPr>
        <w:t>Proposal No.</w:t>
      </w:r>
      <w:r>
        <w:rPr>
          <w:rFonts w:ascii="Times New Roman" w:hAnsi="Times New Roman"/>
          <w:sz w:val="20"/>
        </w:rPr>
        <w:t> </w:t>
      </w:r>
      <w:r>
        <w:rPr>
          <w:rFonts w:ascii="Times New Roman" w:hAnsi="Times New Roman"/>
          <w:i/>
          <w:sz w:val="20"/>
        </w:rPr>
        <w:t>8 (Director and Officer Issuance)</w:t>
      </w:r>
      <w:r>
        <w:rPr>
          <w:rFonts w:ascii="Times New Roman" w:hAnsi="Times New Roman"/>
          <w:sz w:val="20"/>
        </w:rPr>
        <w:t xml:space="preserve">. Pursuant to the Nasdaq Listing Rules, to be approved, Proposal No. 8 must receive “FOR” votes from the holders of a majority of the votes cast on the proposal. Abstentions and broker non-votes will have no effect. Proposal No. 8 is considered a non-routine matter. </w:t>
      </w:r>
    </w:p>
    <w:p>
      <w:pPr>
        <w:pStyle w:val="TextBody"/>
        <w:bidi w:val="0"/>
        <w:spacing w:before="240" w:after="0"/>
        <w:jc w:val="both"/>
        <w:rPr>
          <w:rFonts w:ascii="Times New Roman" w:hAnsi="Times New Roman"/>
          <w:sz w:val="20"/>
        </w:rPr>
      </w:pPr>
      <w:r>
        <w:rPr>
          <w:rFonts w:ascii="Times New Roman" w:hAnsi="Times New Roman"/>
          <w:sz w:val="20"/>
        </w:rPr>
        <w:t xml:space="preserve">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and, therefore, will have no effect on any of the proposals. </w:t>
      </w:r>
    </w:p>
    <w:p>
      <w:pPr>
        <w:pStyle w:val="TextBody"/>
        <w:bidi w:val="0"/>
        <w:spacing w:before="360" w:after="0"/>
        <w:jc w:val="both"/>
        <w:rPr>
          <w:rFonts w:ascii="Times New Roman" w:hAnsi="Times New Roman"/>
          <w:b/>
          <w:sz w:val="20"/>
        </w:rPr>
      </w:pPr>
      <w:r>
        <w:rPr>
          <w:rFonts w:ascii="Times New Roman" w:hAnsi="Times New Roman"/>
          <w:b/>
          <w:sz w:val="20"/>
        </w:rPr>
        <w:t xml:space="preserve">Recommendations of the Board of Directors on Each of the Proposals Scheduled to be Voted on at the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recommends that you vote </w:t>
      </w:r>
      <w:r>
        <w:rPr>
          <w:rFonts w:ascii="Times New Roman" w:hAnsi="Times New Roman"/>
          <w:b/>
          <w:sz w:val="20"/>
        </w:rPr>
        <w:t>FOR</w:t>
      </w:r>
      <w:r>
        <w:rPr>
          <w:rFonts w:ascii="Times New Roman" w:hAnsi="Times New Roman"/>
          <w:sz w:val="20"/>
        </w:rPr>
        <w:t xml:space="preserve"> the election of each of the Class III directors named in this Proxy Statement (Proposal No. 1); </w:t>
      </w:r>
      <w:r>
        <w:rPr>
          <w:rFonts w:ascii="Times New Roman" w:hAnsi="Times New Roman"/>
          <w:b/>
          <w:sz w:val="20"/>
        </w:rPr>
        <w:t>FOR</w:t>
      </w:r>
      <w:r>
        <w:rPr>
          <w:rFonts w:ascii="Times New Roman" w:hAnsi="Times New Roman"/>
          <w:sz w:val="20"/>
        </w:rPr>
        <w:t xml:space="preserve"> the ratification of the appointment of Baker Tilly US, LLP as our independent registered public accounting firm for the fiscal year ending December 31, 2026 (Proposal No. 2); </w:t>
      </w:r>
      <w:r>
        <w:rPr>
          <w:rFonts w:ascii="Times New Roman" w:hAnsi="Times New Roman"/>
          <w:b/>
          <w:sz w:val="20"/>
        </w:rPr>
        <w:t>FOR</w:t>
      </w:r>
      <w:r>
        <w:rPr>
          <w:rFonts w:ascii="Times New Roman" w:hAnsi="Times New Roman"/>
          <w:sz w:val="20"/>
        </w:rPr>
        <w:t xml:space="preserve"> an amendment to the 2023 Plan, to, among other things, increase the number of shares of our common stock authorized for issuance under the 2023 Plan by 7,500,000 shares and include in the calculation of the annual automatic share reserve increase shares of common stock issuable upon conversion or exercise of convertible preferred stock and pre-funded warrants (Proposal No. 3); </w:t>
      </w:r>
      <w:r>
        <w:rPr>
          <w:rFonts w:ascii="Times New Roman" w:hAnsi="Times New Roman"/>
          <w:b/>
          <w:sz w:val="20"/>
        </w:rPr>
        <w:t>FOR</w:t>
      </w:r>
      <w:r>
        <w:rPr>
          <w:rFonts w:ascii="Times New Roman" w:hAnsi="Times New Roman"/>
          <w:sz w:val="20"/>
        </w:rPr>
        <w:t xml:space="preserve">, on an advisory basis, the compensation of our named executive officers (Proposal No. 4); </w:t>
      </w:r>
      <w:r>
        <w:rPr>
          <w:rFonts w:ascii="Times New Roman" w:hAnsi="Times New Roman"/>
          <w:b/>
          <w:sz w:val="20"/>
        </w:rPr>
        <w:t>FOR</w:t>
      </w:r>
      <w:r>
        <w:rPr>
          <w:rFonts w:ascii="Times New Roman" w:hAnsi="Times New Roman"/>
          <w:sz w:val="20"/>
        </w:rPr>
        <w:t xml:space="preserve"> a “one-year” preferred frequency of stockholder advisory votes on the compensation of the Company’s named executive officers (Proposal No. 5); </w:t>
      </w:r>
      <w:r>
        <w:rPr>
          <w:rFonts w:ascii="Times New Roman" w:hAnsi="Times New Roman"/>
          <w:b/>
          <w:sz w:val="20"/>
        </w:rPr>
        <w:t>FOR</w:t>
      </w:r>
      <w:r>
        <w:rPr>
          <w:rFonts w:ascii="Times New Roman" w:hAnsi="Times New Roman"/>
          <w:sz w:val="20"/>
        </w:rPr>
        <w:t xml:space="preserve"> the approval of an amendment to our certificate of incorporation to effect a reverse stock split of our common stock, and a corresponding proportionate reduction in the total number of shares of authorized shares of our common stock (Proposal No. 6); </w:t>
      </w:r>
      <w:r>
        <w:rPr>
          <w:rFonts w:ascii="Times New Roman" w:hAnsi="Times New Roman"/>
          <w:b/>
          <w:sz w:val="20"/>
        </w:rPr>
        <w:t>FOR</w:t>
      </w:r>
      <w:r>
        <w:rPr>
          <w:rFonts w:ascii="Times New Roman" w:hAnsi="Times New Roman"/>
          <w:sz w:val="20"/>
        </w:rPr>
        <w:t xml:space="preserve"> the Warrant Issuance Proposal for purposes of complying with Nasdaq Listing Rule 5635(d) (Proposal No. 7); and </w:t>
      </w:r>
      <w:r>
        <w:rPr>
          <w:rFonts w:ascii="Times New Roman" w:hAnsi="Times New Roman"/>
          <w:b/>
          <w:sz w:val="20"/>
        </w:rPr>
        <w:t>FOR</w:t>
      </w:r>
      <w:r>
        <w:rPr>
          <w:rFonts w:ascii="Times New Roman" w:hAnsi="Times New Roman"/>
          <w:sz w:val="20"/>
        </w:rPr>
        <w:t xml:space="preserve"> the Director and Officer Issuance Proposal for purposes of complying with Nasdaq Listing Rule 5635(c) (Proposal No. 8). </w:t>
      </w:r>
    </w:p>
    <w:p>
      <w:pPr>
        <w:pStyle w:val="TextBody"/>
        <w:bidi w:val="0"/>
        <w:spacing w:before="240" w:after="0"/>
        <w:jc w:val="both"/>
        <w:rPr>
          <w:rFonts w:ascii="Times New Roman" w:hAnsi="Times New Roman"/>
          <w:sz w:val="20"/>
        </w:rPr>
      </w:pPr>
      <w:r>
        <w:rPr>
          <w:rFonts w:ascii="Times New Roman" w:hAnsi="Times New Roman"/>
          <w:sz w:val="20"/>
        </w:rPr>
        <w:t xml:space="preserve">None of the Company’s directors or executive officers has any substantial interest in any matter to be acted upon, other than elections to office with respect to the directors nominated in Proposal No. 1, Company’s directors and executive officers eligibility to receive awards under the Amended 2023 Plan if Proposal No. 3 is approved as described under “Proposal No. 3—To Approve an Amendment to the CalciMedica, Inc. Amended 2023 Equity Incentive Plan,” the compensation of our named executive officers as described under “Proposal No. 4—Advisory Vote on Executive Compensation”, and the interests of certain directors and executive officers in the issuance of the Series A Warrants and Series B Warrants pursuant to the Purchase Agreement as described under “Proposal No. 7—Warrant Issuance Proposal” and “Proposal No. 8—Director and Officer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Instructions; Voting of Proxies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stockholder of record, you may: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online at the Annual Meeting—attend the Annual Meeting online and follow the instructions posted at www.proxydocs.com/CALC. You will need the 12 digit control number included on your proxy card or voting instruction form, or included in the e-mail to you if you received the proxy materials by e-mail;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before the Annual Meeting through the internet—visit www.proxypush.com/CALC and follow the on-screen instructions to complete the electronic proxy card or scan the QR code on your proxy card with your smartphone. You will need the 12 digit control number included on your proxy card or voting instruction form, or included in the e-mail to you if you received the proxy materials by e-mail;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before the Annual Meeting by telephone—dial toll-free 1-866-859-2440 and follow the recorded instructions. You will need the 12 digit control number included on your proxy card or voting instruction form, or included in the e-mail to you if you received the proxy materials by e-mail;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by mail—if you request or receive a paper proxy card and voting instructions by mail, simply complete, sign and date the proxy card or voting instructions and return it as soon as possible before the Annual Meeting in the envelope provided.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Submitting your proxy, whether by telephone, through the internet or by mail, will not affect your right to vote online should you decide to attend the Annual Meeting. If you are not the stockholder of record, please refer to the voting instructions provided by your nominee to direct how to vote your shares. For Proposal No. 1, you may either vote “FOR” each of the nominees to the Board of Directors, or you may “WITHHOLD” your vote from any nominee you specify. For Proposals No. 2, 3, 4, 6, 7 and 8, you may vote “FOR,” “AGAINST” or “ABSTAIN”. For Proposal No. 5, you may vote “ONE-YEAR,” “TWO-YEARS,” “THREE-YEARS or “ABSTAIN.” Your vote is important. Whether or not you plan to attend the Annual Meeting, we urge you to vote by proxy to ensure that your vote is counted. </w:t>
      </w:r>
    </w:p>
    <w:p>
      <w:pPr>
        <w:pStyle w:val="TextBody"/>
        <w:bidi w:val="0"/>
        <w:spacing w:before="240" w:after="0"/>
        <w:jc w:val="both"/>
        <w:rPr>
          <w:rFonts w:ascii="Times New Roman" w:hAnsi="Times New Roman"/>
          <w:sz w:val="20"/>
        </w:rPr>
      </w:pPr>
      <w:r>
        <w:rPr>
          <w:rFonts w:ascii="Times New Roman" w:hAnsi="Times New Roman"/>
          <w:sz w:val="20"/>
        </w:rPr>
        <w:t xml:space="preserve">All proxies will be voted in accordance with the instructions specified on the proxy card. If you sign a physical proxy card and return it or otherwise vote without instructions as to how your shares should be voted on a particular proposal at the Annual Meeting, your shares will be voted in accordance with the recommendations of our Board of Directors stated above. </w:t>
      </w:r>
    </w:p>
    <w:p>
      <w:pPr>
        <w:pStyle w:val="TextBody"/>
        <w:bidi w:val="0"/>
        <w:spacing w:before="240" w:after="0"/>
        <w:jc w:val="both"/>
        <w:rPr>
          <w:rFonts w:ascii="Times New Roman" w:hAnsi="Times New Roman"/>
          <w:sz w:val="20"/>
        </w:rPr>
      </w:pPr>
      <w:r>
        <w:rPr>
          <w:rFonts w:ascii="Times New Roman" w:hAnsi="Times New Roman"/>
          <w:sz w:val="20"/>
        </w:rPr>
        <w:t xml:space="preserve">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If you receive more than one proxy card or voting instruction form, your shares are registered in more than one name or are registered in different accounts. To make certain all of your shares are voted, please follow the instructions included on each proxy card or voting instruction form. If you vote by mail, please complete, sign, date and return each proxy card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of Soliciting Proxies </w:t>
      </w:r>
    </w:p>
    <w:p>
      <w:pPr>
        <w:pStyle w:val="TextBody"/>
        <w:bidi w:val="0"/>
        <w:spacing w:before="120" w:after="0"/>
        <w:jc w:val="both"/>
        <w:rPr>
          <w:rFonts w:ascii="Times New Roman" w:hAnsi="Times New Roman"/>
          <w:sz w:val="20"/>
        </w:rPr>
      </w:pPr>
      <w:r>
        <w:rPr>
          <w:rFonts w:ascii="Times New Roman" w:hAnsi="Times New Roman"/>
          <w:sz w:val="20"/>
        </w:rPr>
        <w:t xml:space="preserve">We will pay the expenses associated with soliciting proxies. We have retained Advantage Proxy, a proxy solicitation firm, to assist in soliciting proxies for a fee of approximately $7,500, plus reimbursement of out-of-pocket expenses. Following the original mailing of the proxy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mailing of the proxy materials, we will request brokers, custodians,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both"/>
        <w:rPr>
          <w:rFonts w:ascii="Times New Roman" w:hAnsi="Times New Roman"/>
          <w:sz w:val="20"/>
        </w:rPr>
      </w:pPr>
      <w:r>
        <w:rPr>
          <w:rFonts w:ascii="Times New Roman" w:hAnsi="Times New Roman"/>
          <w:sz w:val="20"/>
        </w:rPr>
        <w:t xml:space="preserve">A stockholder of record who has given a proxy may revoke it at any time before the closing of the polls by the inspector of elections at the Annual Meeting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delivering to our Corporate Secretary (by any means, including facsimile) a written notice stating that the proxy is revoked;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signing and delivering a proxy bearing a later date;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voting again through the internet or by telephone;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attending and voting online at the Annual Meeting by following the instructions posted at www.proxydocs.com/CALC (although attendance at the Annual Meeting will not, by itself, revoke a proxy or vote your shares).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Please note, however, that if your shares are held of record by a brokerage firm, bank or other nominee, and you wish to revoke a proxy, you must contact that firm to revoke or change any prior voting instructions.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both"/>
        <w:rPr>
          <w:rFonts w:ascii="Times New Roman" w:hAnsi="Times New Roman"/>
          <w:sz w:val="20"/>
        </w:rPr>
      </w:pPr>
      <w:r>
        <w:rPr>
          <w:rFonts w:ascii="Times New Roman" w:hAnsi="Times New Roman"/>
          <w:sz w:val="20"/>
        </w:rPr>
        <w:t xml:space="preserve">Voting results will be tabulated and certified by the inspector of elections appointed for the Annual Meeting. The final results will be tallied by the inspector of elections and filed with the Securities and Exchange Commission (“SEC”) in a Current Report on Form 8-K within four business days of the Annual Meeting. </w:t>
      </w:r>
    </w:p>
    <w:p>
      <w:pPr>
        <w:pStyle w:val="TextBody"/>
        <w:bidi w:val="0"/>
        <w:spacing w:before="360" w:after="0"/>
        <w:jc w:val="both"/>
        <w:rPr>
          <w:rFonts w:ascii="Times New Roman" w:hAnsi="Times New Roman"/>
          <w:b/>
          <w:sz w:val="20"/>
        </w:rPr>
      </w:pPr>
      <w:r>
        <w:rPr>
          <w:rFonts w:ascii="Times New Roman" w:hAnsi="Times New Roman"/>
          <w:b/>
          <w:sz w:val="20"/>
        </w:rPr>
        <w:t xml:space="preserve">Implications of Being a “Smaller Reporting Company” </w:t>
      </w:r>
    </w:p>
    <w:p>
      <w:pPr>
        <w:pStyle w:val="TextBody"/>
        <w:bidi w:val="0"/>
        <w:spacing w:before="120" w:after="0"/>
        <w:jc w:val="both"/>
        <w:rPr>
          <w:rFonts w:ascii="Times New Roman" w:hAnsi="Times New Roman"/>
          <w:sz w:val="20"/>
        </w:rPr>
      </w:pPr>
      <w:r>
        <w:rPr>
          <w:rFonts w:ascii="Times New Roman" w:hAnsi="Times New Roman"/>
          <w:sz w:val="20"/>
        </w:rPr>
        <w:t xml:space="preserve">We are a “Smaller Reporting Company” as defined under Rule 405 of the Securities Act of 1933, as amended, and, as such, have elected to comply with certain reduced public company reporting requirements. These reduced reporting requirements include, but are not limited to: reduced disclosure about the Company’s executive compensation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28288_1"/>
      <w:bookmarkEnd w:id="6"/>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includes forward-looking statements, which are statements other than statements of historical facts and statements in the future tense. These statements include, but are not limited to, statements regarding our business, our business strategy and plans, our expectations and plans regarding our corporate governance and compensation practices and policies, our objectives and future operations. In some cases, you can identify forward-looking statements by terms such as “aim,” “may,” “will,” “should,” “expect,” “believe,” “plan,” “anticipate,” “could,” “intend,” “target,” “project,” “contemplate,” “believe,” “estimate,” “predict,” “potential,” “seeks,” or “continue” or the negative of these terms or other similar expressions, although not all forward-looking statements contain these words. </w:t>
      </w:r>
    </w:p>
    <w:p>
      <w:pPr>
        <w:pStyle w:val="TextBody"/>
        <w:bidi w:val="0"/>
        <w:spacing w:before="240" w:after="0"/>
        <w:jc w:val="both"/>
        <w:rPr>
          <w:rFonts w:ascii="Times New Roman" w:hAnsi="Times New Roman"/>
          <w:sz w:val="20"/>
        </w:rPr>
      </w:pPr>
      <w:r>
        <w:rPr>
          <w:rFonts w:ascii="Times New Roman" w:hAnsi="Times New Roman"/>
          <w:sz w:val="20"/>
        </w:rPr>
        <w:t xml:space="preserve">Forward-looking statements are based upon various estimates and assumptions, as well as information known to us as of the date hereof and are subject to risks and uncertainties. Accordingly, actual results could differ materially due to a variety of factors. These risks and uncertainties include, but are not limited to, those described under the caption “Risk Factors” in our Annual Report, as updated by our subsequent quarterly reports and our other SEC filings, which are available on the Investor Relations page of our website at ir.calcimedica.com and on the SEC website at www.sec.gov. </w:t>
      </w:r>
    </w:p>
    <w:p>
      <w:pPr>
        <w:pStyle w:val="TextBody"/>
        <w:bidi w:val="0"/>
        <w:spacing w:before="240" w:after="0"/>
        <w:jc w:val="both"/>
        <w:rPr>
          <w:rFonts w:ascii="Times New Roman" w:hAnsi="Times New Roman"/>
          <w:sz w:val="20"/>
        </w:rPr>
      </w:pPr>
      <w:r>
        <w:rPr>
          <w:rFonts w:ascii="Times New Roman" w:hAnsi="Times New Roman"/>
          <w:sz w:val="20"/>
        </w:rPr>
        <w:t xml:space="preserve">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Proxy Statement or to conform these statements to actual results or revised expectations, except as required by law. Undue reliance should not be placed on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28288_5"/>
      <w:bookmarkEnd w:id="7"/>
      <w:r>
        <w:rPr>
          <w:rFonts w:ascii="Times New Roman" w:hAnsi="Times New Roman"/>
          <w:b/>
          <w:sz w:val="20"/>
        </w:rPr>
        <w:t xml:space="preserve">BOARD OF DIRECTORS AND COMMITTEES OF THE BOARD OF DIRECTORS; CORPORATE GOVERNANCE STANDARDS AND DIRECTOR INDEPENDENCE </w:t>
      </w:r>
    </w:p>
    <w:p>
      <w:pPr>
        <w:pStyle w:val="TextBody"/>
        <w:bidi w:val="0"/>
        <w:spacing w:before="240" w:after="0"/>
        <w:jc w:val="both"/>
        <w:rPr>
          <w:rFonts w:ascii="Times New Roman" w:hAnsi="Times New Roman"/>
          <w:sz w:val="20"/>
        </w:rPr>
      </w:pPr>
      <w:r>
        <w:rPr>
          <w:rFonts w:ascii="Times New Roman" w:hAnsi="Times New Roman"/>
          <w:sz w:val="20"/>
        </w:rPr>
        <w:t xml:space="preserve">We are committed to good corporate governance practices. These practices provide an important framework within which our Board of Directors and management pursue our strategic objectives for the benefit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Investors and Media section of our website at ir.calcimedica.com. The information on our website is not incorporated by reference into this Proxy Statement or our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and Leadership Structure </w:t>
      </w:r>
    </w:p>
    <w:p>
      <w:pPr>
        <w:pStyle w:val="TextBody"/>
        <w:bidi w:val="0"/>
        <w:spacing w:before="120" w:after="0"/>
        <w:jc w:val="both"/>
        <w:rPr>
          <w:rFonts w:ascii="Times New Roman" w:hAnsi="Times New Roman"/>
          <w:sz w:val="20"/>
        </w:rPr>
      </w:pPr>
      <w:r>
        <w:rPr>
          <w:rFonts w:ascii="Times New Roman" w:hAnsi="Times New Roman"/>
          <w:sz w:val="20"/>
        </w:rPr>
        <w:t xml:space="preserve">The positions of Chief Executive Officer and Chair of our Board of Directors are held by two different individuals, A. Rachel Leheny, Ph.D. and Robert N. Wilson. This structure allows our Chief Executive Officer 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Board’s Role in Risk Oversight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disclosure controls and procedures, data privacy and cybersecurity, and corporate, legal and regulatory risk.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corporate governance structures and processes, succession planning and Board organization, independence and structure.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listed on the Nasdaq Capital Market. Under the Nasdaq Listing Rules, independent directors must constitute a majority of a listed company’s board of directors. In addition, the Nasdaq Listing Rules require that, subject to specified exceptions, each member of a listed company’s audit, compensation and nominating and corporate governance committees must be an “independent director.”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A. Rachel Leheny, Ph.D. and Eric W. Roberts, and, for the periods prior to March 20, 2026, Frederic Guerard, Pharm.D., representing a majority of our directors are “independent directors” as defined under the applicable rules and regulations of the SEC and the Nasdaq Listing Rules, and Eric Bjerkholt, who left the Board during 2025, was “independent” during the period he served on the Board.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Investors and Media section of our website at ir.calcimedica.com. The information on our website is not incorporated by reference into this Proxy Statement or our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is composed of Alan Glicklich, M.D., Fred Middleton, Allan Shaw and Evgeny Zaytsev, M.D., Ph.D.. Mr. Shaw is the Chair of our Audit Committee. The composition of our Audit Committee meets the requirements for independence under the current SEC rules and regulations and Nasdaq Listing Rules. Each member of our Audit Committee is financially literate. In addition, our Board of Directors has determined that Mr. Shaw is an “audit committee financial expert” as defined in Item 407(d)(5)(ii) of Regulation S-K promulgated under the Securities Act. Our Audit Committee is directly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Company’s accounting and financial reporting processes, including its audits and the integrity of the Company’s financial statements;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compliance by the Company with legal and regulatory requirements;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qualifications, independence and performance of the Company’s independent auditors; and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committee report as required by the rules of the SEC to be included in the Company’s annual proxy statement.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is composed of Frederic Guerard, Pharm.D., Fred Middleton, Allan Shaw and Evgeny Zaytsev, M.D., Ph.D.. Mr. Shaw is the Chair of our Compensation Committee. The composition of our Compensation Committee meets the requirements for independence under the current SEC rules and regulations and Nasdaq Listing Rules. Our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evaluating, recommending, approving and reviewing executive officer and director compensation arrangements, plans, policies and programs maintained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administering the Company’s cash-based and equity-based compensation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making recommendations to our Board of Directors regarding any other Board of Directors’ responsibilities relating to executive compensation.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has the sole authority and responsibility, subject to any approval by our Board of Directors which the Compensation Committee or legal counsel determines to be desirable or required by applicable law or the Nasdaq Listing Rules, to determine all aspects of executive compensation packages for the Chief Executive Officer and other executive officers. The Compensation Committee also makes recommendations to our Board of Directors regarding the form and amount of compensation of non-employee directors. The Compensation Committee may take into account the recommendations of the Chief Executive Officer with respect to compensation of the other executive officers, and the recommendations of our Board of Directors or any member of our Board of Directors with respect to compensation of the Chief Executive Officer and other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is composed of Frederic Guerard, Pharm.D., Allan Shaw and Evgeny Zaystev, M.D., Ph.D.. Dr. Guerard is the Chair of our Nominating and Corporate Governance Committee. Our Nominating and Corporate Governance Committee is responsible for, among other things: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identifying, considering, recruiting and recommending candidates for membership on our Board of Directors;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an annual evaluation of our Board of Directors and of each committee of our Board of Directors; and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advising our Board of Directors on other corporate governance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a code of conduct and ethics that applies to all of our employees, officers and directors, including our Chief Executive Officer, Chief Financial Officer and other executive and senior financial officers. We intend to disclose future amendments to certain provisions of our code of conduct and ethics, or waivers of these provisions, on our website or in public filings. The full text of our code of conduct and ethics is posted on the Investors and Media section of our website at ir.calcimedica.com. The information on our website is not incorporated by reference into this Proxy Statement or our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an Insider Trading Policy governing the purchase, sale, and/or </w:t>
      </w:r>
    </w:p>
    <w:p>
      <w:pPr>
        <w:pStyle w:val="TextBody"/>
        <w:bidi w:val="0"/>
        <w:spacing w:before="120" w:after="0"/>
        <w:jc w:val="both"/>
        <w:rPr>
          <w:rFonts w:ascii="Times New Roman" w:hAnsi="Times New Roman"/>
          <w:sz w:val="20"/>
        </w:rPr>
      </w:pPr>
      <w:r>
        <w:rPr>
          <w:rFonts w:ascii="Times New Roman" w:hAnsi="Times New Roman"/>
          <w:sz w:val="20"/>
        </w:rPr>
        <w:t xml:space="preserve">other </w:t>
      </w:r>
    </w:p>
    <w:p>
      <w:pPr>
        <w:pStyle w:val="TextBody"/>
        <w:bidi w:val="0"/>
        <w:spacing w:before="120" w:after="0"/>
        <w:jc w:val="both"/>
        <w:rPr>
          <w:rFonts w:ascii="Times New Roman" w:hAnsi="Times New Roman"/>
          <w:sz w:val="20"/>
        </w:rPr>
      </w:pPr>
      <w:r>
        <w:rPr>
          <w:rFonts w:ascii="Times New Roman" w:hAnsi="Times New Roman"/>
          <w:sz w:val="20"/>
        </w:rPr>
        <w:t xml:space="preserve">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w:t>
      </w:r>
    </w:p>
    <w:p>
      <w:pPr>
        <w:pStyle w:val="TextBody"/>
        <w:bidi w:val="0"/>
        <w:spacing w:before="120" w:after="0"/>
        <w:jc w:val="both"/>
        <w:rPr>
          <w:rFonts w:ascii="Times New Roman" w:hAnsi="Times New Roman"/>
          <w:spacing w:val="0"/>
          <w:sz w:val="20"/>
        </w:rPr>
      </w:pPr>
      <w:r>
        <w:rPr>
          <w:rFonts w:ascii="Times New Roman" w:hAnsi="Times New Roman"/>
          <w:spacing w:val="0"/>
          <w:sz w:val="20"/>
        </w:rPr>
        <w:t>10-K</w:t>
      </w:r>
    </w:p>
    <w:p>
      <w:pPr>
        <w:pStyle w:val="TextBody"/>
        <w:bidi w:val="0"/>
        <w:spacing w:before="120" w:after="0"/>
        <w:jc w:val="both"/>
        <w:rPr>
          <w:rFonts w:ascii="Times New Roman" w:hAnsi="Times New Roman"/>
          <w:sz w:val="20"/>
        </w:rPr>
      </w:pPr>
      <w:r>
        <w:rPr>
          <w:rFonts w:ascii="Times New Roman" w:hAnsi="Times New Roman"/>
          <w:sz w:val="20"/>
        </w:rPr>
        <w:t xml:space="preserve">for our fiscal year ended December 31, 2025. In addition, it is the Company’s intent to comply with applicable laws and regulations relating to insider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Anti-hedging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an Insider Trading Policy that applies to all of our employees, officers and directors, including our Chief Executive Officer and other executive officers, which prohibits such individuals from engaging in hedging or monetization transactions involving (i) our stock, </w:t>
      </w:r>
    </w:p>
    <w:p>
      <w:pPr>
        <w:pStyle w:val="TextBody"/>
        <w:bidi w:val="0"/>
        <w:spacing w:before="120" w:after="0"/>
        <w:jc w:val="both"/>
        <w:rPr>
          <w:rFonts w:ascii="Times New Roman" w:hAnsi="Times New Roman"/>
          <w:sz w:val="20"/>
        </w:rPr>
      </w:pPr>
      <w:r>
        <w:rPr>
          <w:rFonts w:ascii="Times New Roman" w:hAnsi="Times New Roman"/>
          <w:sz w:val="20"/>
        </w:rPr>
        <w:t xml:space="preserve">such </w:t>
      </w:r>
    </w:p>
    <w:p>
      <w:pPr>
        <w:pStyle w:val="TextBody"/>
        <w:bidi w:val="0"/>
        <w:spacing w:before="120" w:after="0"/>
        <w:jc w:val="both"/>
        <w:rPr>
          <w:rFonts w:ascii="Times New Roman" w:hAnsi="Times New Roman"/>
          <w:sz w:val="20"/>
        </w:rPr>
      </w:pPr>
      <w:r>
        <w:rPr>
          <w:rFonts w:ascii="Times New Roman" w:hAnsi="Times New Roman"/>
          <w:sz w:val="20"/>
        </w:rPr>
        <w:t xml:space="preserve">as zero cost collars, forward sale contracts, or contribute our stock to exchange funds in a manner that could be interpreted as hedging, or (ii) options or other derivative securities on our stock, such as puts and calls, whether on an exchange or in any other market, unless limited solely to exercising a compensatory equity grant issued by us. In addition, no employee, officer or director may use or pledge our securities as collateral in a margin account or as collateral for a loan unless preapproved by our compliance officer.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and Committee Meetings and Attendance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and its committees meet regularly throughout the year and also hold special meetings and act by written consent from time to time. During 2025, the Board of Directors held five meetings including videoconference meetings; the Audit Committee held four meetings; the Compensation Committee held one meeting and the Nominating and Corporate Governance Committee held two meetings. During 2025, none of the directors then serving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the management directors on a regular basis to discuss such matters as the independent directors consider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Attendance at Annual Stockholders’ Meeting </w:t>
      </w:r>
    </w:p>
    <w:p>
      <w:pPr>
        <w:pStyle w:val="TextBody"/>
        <w:bidi w:val="0"/>
        <w:spacing w:before="120" w:after="0"/>
        <w:jc w:val="both"/>
        <w:rPr>
          <w:rFonts w:ascii="Times New Roman" w:hAnsi="Times New Roman"/>
          <w:sz w:val="20"/>
        </w:rPr>
      </w:pPr>
      <w:r>
        <w:rPr>
          <w:rFonts w:ascii="Times New Roman" w:hAnsi="Times New Roman"/>
          <w:sz w:val="20"/>
        </w:rPr>
        <w:t xml:space="preserve">We invite and encourage each member of our Board of Directors to attend our annual meetings of stockholders. We do not have a formal policy regarding attendance of our annual meetings of stockholders by the members of our Board of Directors. All members of our Board of Directors attended our 2025 annual meeting of stockholders in their capacity as members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 with Directors </w:t>
      </w:r>
    </w:p>
    <w:p>
      <w:pPr>
        <w:pStyle w:val="TextBody"/>
        <w:bidi w:val="0"/>
        <w:spacing w:before="120" w:after="0"/>
        <w:jc w:val="both"/>
        <w:rPr>
          <w:rFonts w:ascii="Times New Roman" w:hAnsi="Times New Roman"/>
          <w:sz w:val="20"/>
        </w:rPr>
      </w:pPr>
      <w:r>
        <w:rPr>
          <w:rFonts w:ascii="Times New Roman" w:hAnsi="Times New Roman"/>
          <w:sz w:val="20"/>
        </w:rPr>
        <w:t xml:space="preserve">Stockholders and interested parties who wish to communicate with our Board of Directors, non-management members of our Board of Directors as a group, a committee of the Board of Directors or a specific member of our Board of Directors (including our Chair) may do so by letters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CalciMedica, Inc. </w:t>
      </w:r>
    </w:p>
    <w:p>
      <w:pPr>
        <w:pStyle w:val="TextBody"/>
        <w:bidi w:val="0"/>
        <w:spacing w:before="0" w:after="0"/>
        <w:jc w:val="center"/>
        <w:rPr>
          <w:rFonts w:ascii="Times New Roman" w:hAnsi="Times New Roman"/>
          <w:sz w:val="20"/>
        </w:rPr>
      </w:pPr>
      <w:r>
        <w:rPr>
          <w:rFonts w:ascii="Times New Roman" w:hAnsi="Times New Roman"/>
          <w:sz w:val="20"/>
        </w:rPr>
        <w:t xml:space="preserve">c/o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center"/>
        <w:rPr>
          <w:rFonts w:ascii="Times New Roman" w:hAnsi="Times New Roman"/>
          <w:sz w:val="20"/>
        </w:rPr>
      </w:pPr>
      <w:r>
        <w:rPr>
          <w:rFonts w:ascii="Times New Roman" w:hAnsi="Times New Roman"/>
          <w:sz w:val="20"/>
        </w:rPr>
        <w:t xml:space="preserve">La Jolla, CA 92037 </w:t>
      </w:r>
    </w:p>
    <w:p>
      <w:pPr>
        <w:pStyle w:val="TextBody"/>
        <w:bidi w:val="0"/>
        <w:spacing w:before="240" w:after="0"/>
        <w:jc w:val="both"/>
        <w:rPr>
          <w:rFonts w:ascii="Times New Roman" w:hAnsi="Times New Roman"/>
          <w:sz w:val="20"/>
        </w:rPr>
      </w:pPr>
      <w:r>
        <w:rPr>
          <w:rFonts w:ascii="Times New Roman" w:hAnsi="Times New Roman"/>
          <w:sz w:val="20"/>
        </w:rPr>
        <w:t xml:space="preserve">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Considerations in Evaluating Director Nominees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identifying, considering and recommending candidates to the Board of Directors for Board membership. A variety of methods are used to identify and evaluate director nominees, with the goal of maintaining and further developing a highly qualified Board of Directors with a diversity of experience and skills. Candidates may come to our attention through current members of our Board of Directors, professional search firms, stockholders or other persons.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such factors as business experience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 </w:t>
      </w:r>
    </w:p>
    <w:p>
      <w:pPr>
        <w:pStyle w:val="TextBody"/>
        <w:bidi w:val="0"/>
        <w:spacing w:before="240" w:after="0"/>
        <w:jc w:val="both"/>
        <w:rPr>
          <w:rFonts w:ascii="Times New Roman" w:hAnsi="Times New Roman"/>
          <w:sz w:val="20"/>
        </w:rPr>
      </w:pPr>
      <w:r>
        <w:rPr>
          <w:rFonts w:ascii="Times New Roman" w:hAnsi="Times New Roman"/>
          <w:sz w:val="20"/>
        </w:rPr>
        <w:t xml:space="preserve">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of knowledge, skills and experiences on a company-wide basis but have not adopted a specific policy regarding Board diversity.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Recommendations for Nominations to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will consider properly submitted stockholder recommendations for candidates for our Board of Directors who meet the minimum qualifications described above. The Nominating and Corporate Governance Committee does not intend to alter the manner in which it evaluates candidates, including the minimum qualifications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the attention of our Corporate Secretary, c/o CalciMedica, Inc., 505 Coast Boulevard South, Suite 300-9, La Jolla, CA 92037. Submissions must include the full name of the proposed nominee, complete biographical information, a description of the proposed nominee’s qualifications as a director, other information specified in our bylaws, and a representation that the nominating stockholder is a beneficial owner or stockholder of record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to the Corporate Secretary by a stockholder in connection with the recommendation of a director candidate, such materials are to be forwarded to the Nominating and Corporate Governance Committee. </w:t>
      </w:r>
    </w:p>
    <w:p>
      <w:pPr>
        <w:pStyle w:val="TextBody"/>
        <w:bidi w:val="0"/>
        <w:spacing w:before="240" w:after="0"/>
        <w:jc w:val="both"/>
        <w:rPr>
          <w:rFonts w:ascii="Times New Roman" w:hAnsi="Times New Roman"/>
          <w:sz w:val="20"/>
        </w:rPr>
      </w:pPr>
      <w:r>
        <w:rPr>
          <w:rFonts w:ascii="Times New Roman" w:hAnsi="Times New Roman"/>
          <w:sz w:val="20"/>
        </w:rPr>
        <w:t xml:space="preserve">Additional information regarding the process for properly submitting stockholder nominations for candidates for membership on our Board of Directors is set forth below under “Stockholder Proposals to Be Presented at Next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28288_6"/>
      <w:bookmarkEnd w:id="8"/>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CLASS III DIRECTORS </w:t>
      </w:r>
    </w:p>
    <w:p>
      <w:pPr>
        <w:pStyle w:val="TextBody"/>
        <w:bidi w:val="0"/>
        <w:spacing w:before="240" w:after="0"/>
        <w:jc w:val="both"/>
        <w:rPr>
          <w:rFonts w:ascii="Times New Roman" w:hAnsi="Times New Roman"/>
          <w:sz w:val="20"/>
        </w:rPr>
      </w:pPr>
      <w:r>
        <w:rPr>
          <w:rFonts w:ascii="Times New Roman" w:hAnsi="Times New Roman"/>
          <w:sz w:val="20"/>
        </w:rPr>
        <w:t xml:space="preserve">Under our Amended and Restated Certificate of Incorporation, as amended (the “Certificate of Incorporation”), our Board of Directors is divided into three classes. Each class serves for three years, with the terms of office of the respective classes expiring in successive years. Our Board of Directors currently consists of eight directors. Directors in Class III will stand for election at this Annual Meeting, Class I directors have a term expiring in 2027 and Class II directors have a term expiring in 2028. Each of our Class I, Class II and Class III directors were elected to serve on our Board of Directors by our stockholders at the annual meeting of stockholders held in 2024, 2025 and 2023, respectively, except Class I directors, Alan Glicklich who was appointed to our Board of Directors to fill the vacancy caused by the resignation of Eric Bjerkholt in January 2025 and Evgeny Zaytsev who was appointed to our Board of Directors to fill the vacancy resulting from an increase in the size of the Board of Directors from seven directors to eight directors in July 2026. On July 2, 2026, Fred Middleton notified our Board of Directors of his intent to retire as a member of the Board of Directors, effective as of the Annual Meeting. The Board of Directors will be reduced from eight directors to seven directors following Mr. Middleton’s retirement. </w:t>
      </w:r>
    </w:p>
    <w:p>
      <w:pPr>
        <w:pStyle w:val="TextBody"/>
        <w:bidi w:val="0"/>
        <w:spacing w:before="240" w:after="0"/>
        <w:jc w:val="both"/>
        <w:rPr>
          <w:rFonts w:ascii="Times New Roman" w:hAnsi="Times New Roman"/>
          <w:sz w:val="20"/>
        </w:rPr>
      </w:pPr>
      <w:r>
        <w:rPr>
          <w:rFonts w:ascii="Times New Roman" w:hAnsi="Times New Roman"/>
          <w:sz w:val="20"/>
        </w:rPr>
        <w:t xml:space="preserve">Our Nominating and Corporate Governance Committee recommended to our Board of Directors, and our Board of Directors nominated Allan Shaw and Robert N. Wilson, each a Class III director, for election as Class III directors at the Annual Meeting. At the recommendation of our Nominating and Corporate Governance Committee, our Board of Directors proposes that each of the Class III nominees be elected as a Class III director for a three-year term expiring at the annual meeting of stockholders to be held in 2029 and until such director’s successor is duly elected and qualified or until such director’s earlier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Each director will be elected by a plurality of the votes cast by the holders of the shares present online at the Annual Meeting or represented by proxy at the Annual Meeting and entitled to vote on the election of directors. Each nominee has consented to being named in this Proxy Statement and to serve if elected. 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to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The nominees, their ages and committee membership as of July 21, 2026, are provided in the table below. Additional biographical information for each nominee is set forth in the text below the table. </w:t>
      </w:r>
    </w:p>
    <w:p>
      <w:pPr>
        <w:pStyle w:val="TextBody"/>
        <w:bidi w:val="0"/>
        <w:spacing w:before="0" w:after="0"/>
        <w:jc w:val="left"/>
        <w:rPr/>
      </w:pPr>
      <w:r>
        <w:rPr/>
        <w:t> </w:t>
      </w:r>
    </w:p>
    <w:tbl>
      <w:tblPr>
        <w:tblW w:w="3135" w:type="dxa"/>
        <w:jc w:val="left"/>
        <w:tblInd w:w="0" w:type="dxa"/>
        <w:tblLayout w:type="fixed"/>
        <w:tblCellMar>
          <w:top w:w="0" w:type="dxa"/>
          <w:left w:w="0" w:type="dxa"/>
          <w:bottom w:w="0" w:type="dxa"/>
          <w:right w:w="0" w:type="dxa"/>
        </w:tblCellMar>
      </w:tblPr>
      <w:tblGrid>
        <w:gridCol w:w="1640"/>
        <w:gridCol w:w="120"/>
        <w:gridCol w:w="425"/>
        <w:gridCol w:w="120"/>
        <w:gridCol w:w="830"/>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Shaw(1)(2)(3)</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62</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Class III</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85</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Class III</w:t>
            </w:r>
          </w:p>
        </w:tc>
      </w:tr>
    </w:tbl>
    <w:p>
      <w:pPr>
        <w:pStyle w:val="TextBody"/>
        <w:bidi w:val="0"/>
        <w:spacing w:lineRule="atLeast" w:line="160" w:before="0" w:after="40"/>
        <w:jc w:val="left"/>
        <w:rPr>
          <w:bdr w:val="single" w:sz="2" w:space="1" w:color="000000"/>
        </w:rPr>
      </w:pPr>
      <w:r>
        <w:rPr>
          <w:bdr w:val="single" w:sz="2" w:space="1" w:color="000000"/>
        </w:rPr>
        <w:t> </w:t>
      </w:r>
    </w:p>
    <w:tbl>
      <w:tblPr>
        <w:tblW w:w="3040" w:type="dxa"/>
        <w:jc w:val="left"/>
        <w:tblInd w:w="0" w:type="dxa"/>
        <w:tblLayout w:type="fixed"/>
        <w:tblCellMar>
          <w:top w:w="0" w:type="dxa"/>
          <w:left w:w="0" w:type="dxa"/>
          <w:bottom w:w="0" w:type="dxa"/>
          <w:right w:w="0" w:type="dxa"/>
        </w:tblCellMar>
      </w:tblPr>
      <w:tblGrid>
        <w:gridCol w:w="305"/>
        <w:gridCol w:w="2735"/>
      </w:tblGrid>
      <w:tr>
        <w:trPr/>
        <w:tc>
          <w:tcPr>
            <w:tcW w:w="305" w:type="dxa"/>
            <w:tcBorders/>
            <w:vAlign w:val="center"/>
          </w:tcPr>
          <w:p>
            <w:pPr>
              <w:pStyle w:val="TableContents"/>
              <w:bidi w:val="0"/>
              <w:spacing w:before="0" w:after="283"/>
              <w:jc w:val="left"/>
              <w:rPr/>
            </w:pPr>
            <w:r>
              <w:rPr/>
              <w:t>(1)</w:t>
            </w:r>
          </w:p>
        </w:tc>
        <w:tc>
          <w:tcPr>
            <w:tcW w:w="27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Audit Committee </w:t>
            </w:r>
          </w:p>
        </w:tc>
      </w:tr>
    </w:tbl>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283"/>
              <w:jc w:val="left"/>
              <w:rPr/>
            </w:pPr>
            <w:r>
              <w:rPr/>
              <w:t>(2)</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Compensation Committee </w:t>
            </w:r>
          </w:p>
        </w:tc>
      </w:tr>
    </w:tbl>
    <w:tbl>
      <w:tblPr>
        <w:tblW w:w="5770" w:type="dxa"/>
        <w:jc w:val="left"/>
        <w:tblInd w:w="0" w:type="dxa"/>
        <w:tblLayout w:type="fixed"/>
        <w:tblCellMar>
          <w:top w:w="0" w:type="dxa"/>
          <w:left w:w="0" w:type="dxa"/>
          <w:bottom w:w="0" w:type="dxa"/>
          <w:right w:w="0" w:type="dxa"/>
        </w:tblCellMar>
      </w:tblPr>
      <w:tblGrid>
        <w:gridCol w:w="305"/>
        <w:gridCol w:w="5465"/>
      </w:tblGrid>
      <w:tr>
        <w:trPr/>
        <w:tc>
          <w:tcPr>
            <w:tcW w:w="305" w:type="dxa"/>
            <w:tcBorders/>
            <w:vAlign w:val="center"/>
          </w:tcPr>
          <w:p>
            <w:pPr>
              <w:pStyle w:val="TableContents"/>
              <w:bidi w:val="0"/>
              <w:spacing w:before="0" w:after="283"/>
              <w:jc w:val="left"/>
              <w:rPr/>
            </w:pPr>
            <w:r>
              <w:rPr/>
              <w:t>(3)</w:t>
            </w:r>
          </w:p>
        </w:tc>
        <w:tc>
          <w:tcPr>
            <w:tcW w:w="54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Nominating and Corporate Governance Committee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Allan Shaw </w:t>
      </w:r>
      <w:r>
        <w:rPr>
          <w:rFonts w:ascii="Times New Roman" w:hAnsi="Times New Roman"/>
          <w:sz w:val="20"/>
        </w:rPr>
        <w:t xml:space="preserve">has served as a member of the Board of Directors since March 2023. Prior to that, he served on CalciMedica Subsidiary, Inc.’s (formerly CalciMedica, Inc.) (“Private CalciMedica”) board of directors from October 2021 to March 2023 prior to its merger with the Company (formerly Graybug Vision, Inc.) in March 2023. Since September 2017, Mr. Shaw has served as a special advisor and consulting chief financial officer to biopharmaceutical companies. Mr. Shaw previously served as the chief financial officer of Portage Biotech Inc., a publicly traded biotechnology company, from May 2020 to September 2024. He has also served on the board of directors of Evecxia Therapeutics, Inc. since October 2023. From January 2016 to February 2017, Mr. Shaw served as chief financial </w:t>
      </w:r>
    </w:p>
    <w:p>
      <w:pPr>
        <w:pStyle w:val="TextBody"/>
        <w:bidi w:val="0"/>
        <w:spacing w:before="0" w:after="0"/>
        <w:jc w:val="both"/>
        <w:rPr>
          <w:rFonts w:ascii="Times New Roman" w:hAnsi="Times New Roman"/>
          <w:sz w:val="20"/>
        </w:rPr>
      </w:pPr>
      <w:r>
        <w:rPr>
          <w:rFonts w:ascii="Times New Roman" w:hAnsi="Times New Roman"/>
          <w:sz w:val="20"/>
        </w:rPr>
        <w:t xml:space="preserve">officer and treasurer of Syndax Pharmaceuticals, Inc., a publicly traded clinical stage biopharmaceutical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Mr. Shaw also previously served as chief financial officer of various companies including NewLead Holdings Ltd. from October 2009 to July 2011, Serono S.A. from November 2002 to May 2004, and Viatel, Inc. from November 1994 to June 2002. Mr. Shaw previously served as managing director of Alvarez &amp; Marsal LLC from December 2011 to March 2015 and as founder and senior managing director at Shaw Strategic Capital LLC from 2005 to 2009. Mr. Shaw served as a member of the board of directors of Blue Water Vaccines, Inc. from January 2020 to August 2022. From September 2015 to October 2019, he was a member of the board of directors of VIVUS, Inc., a former publicly traded biopharmaceutical company, and, from October 2013 to June 2016, he was a member of the board of directors of Akari Therapeutics, Plc. (formerly Celsus Therapeutics, plc), a publicly traded biopharmaceutical company. Mr. Shaw was also a director of various other private companies. Mr. Shaw holds a B.S. in Applied Science and Accounting from the State University of New York (Oswego College) and is a certified public accountant in the State of New York. The Board of Directors believes that Mr. Shaw’s extensive leadership experience and diverse industry background qualifies him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Robert N. Wilson</w:t>
      </w:r>
      <w:r>
        <w:rPr>
          <w:rFonts w:ascii="Times New Roman" w:hAnsi="Times New Roman"/>
          <w:sz w:val="20"/>
        </w:rPr>
        <w:t xml:space="preserve"> has served as a member of the Board of Directors since March 2023. Prior to that, he served on Private CalciMedica’s board of directors from November 2020 to March 2023. Mr. Wilson served as chairman of the board of directors of Mevion Medical Systems, Inc. from 2005 to 2016. Mr. Wilson was also a member of the board of directors of Hess Corporation from 1991 to 2015, and a member of the board of directors of Charles Schwab Corporation from 2003 to 2020, as well as a director of other private companies. Mr. Wilson was chairman of Caxton Health Holdings from 2004 to 2007. He was also vice chairman of the board of directors of Johnson &amp; Johnson from 1989 until 2003. Mr. Wilson holds a B.A. from Georgetown College and an Executive Management degree from Columbia University. The Board of Directors believes that Mr. Wilson’s knowledge and extensive experience in the pharmaceutical industry, his managerial, marketing, financial and international experience, and his significant experience as a director for other publicly traded companies qualify him to serve on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Continuing Directors </w:t>
      </w:r>
    </w:p>
    <w:p>
      <w:pPr>
        <w:pStyle w:val="TextBody"/>
        <w:bidi w:val="0"/>
        <w:spacing w:before="120" w:after="0"/>
        <w:jc w:val="both"/>
        <w:rPr>
          <w:rFonts w:ascii="Times New Roman" w:hAnsi="Times New Roman"/>
          <w:sz w:val="20"/>
        </w:rPr>
      </w:pPr>
      <w:r>
        <w:rPr>
          <w:rFonts w:ascii="Times New Roman" w:hAnsi="Times New Roman"/>
          <w:sz w:val="20"/>
        </w:rPr>
        <w:t xml:space="preserve">The directors who are serving for terms that end following the Annual Meeting, their ages and committee membership as of July 21, 2026, are provided in the table below. Additional biographical information for each continuing director is set forth in the text below the table. </w:t>
      </w:r>
    </w:p>
    <w:p>
      <w:pPr>
        <w:pStyle w:val="TextBody"/>
        <w:bidi w:val="0"/>
        <w:spacing w:before="0" w:after="0"/>
        <w:jc w:val="left"/>
        <w:rPr/>
      </w:pPr>
      <w:r>
        <w:rPr/>
        <w:t> </w:t>
      </w:r>
    </w:p>
    <w:tbl>
      <w:tblPr>
        <w:tblW w:w="4470" w:type="dxa"/>
        <w:jc w:val="left"/>
        <w:tblInd w:w="0" w:type="dxa"/>
        <w:tblLayout w:type="fixed"/>
        <w:tblCellMar>
          <w:top w:w="0" w:type="dxa"/>
          <w:left w:w="0" w:type="dxa"/>
          <w:bottom w:w="0" w:type="dxa"/>
          <w:right w:w="0" w:type="dxa"/>
        </w:tblCellMar>
      </w:tblPr>
      <w:tblGrid>
        <w:gridCol w:w="3050"/>
        <w:gridCol w:w="120"/>
        <w:gridCol w:w="425"/>
        <w:gridCol w:w="120"/>
        <w:gridCol w:w="75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 M.D.(1)</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65</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Class I</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Evgeny Zaytsev, M.D., Ph.D.(1)(2)(3)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58</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Class I</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63</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Class II</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Class II</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Pharm.D.(2)(3)</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54</w:t>
            </w:r>
          </w:p>
        </w:tc>
        <w:tc>
          <w:tcPr>
            <w:tcW w:w="12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Class II</w:t>
            </w:r>
          </w:p>
        </w:tc>
      </w:tr>
    </w:tbl>
    <w:p>
      <w:pPr>
        <w:pStyle w:val="TextBody"/>
        <w:bidi w:val="0"/>
        <w:spacing w:lineRule="atLeast" w:line="160" w:before="0" w:after="40"/>
        <w:jc w:val="left"/>
        <w:rPr>
          <w:bdr w:val="single" w:sz="2" w:space="1" w:color="000000"/>
        </w:rPr>
      </w:pPr>
      <w:r>
        <w:rPr>
          <w:bdr w:val="single" w:sz="2" w:space="1" w:color="000000"/>
        </w:rPr>
        <w:t> </w:t>
      </w:r>
    </w:p>
    <w:tbl>
      <w:tblPr>
        <w:tblW w:w="3040" w:type="dxa"/>
        <w:jc w:val="left"/>
        <w:tblInd w:w="0" w:type="dxa"/>
        <w:tblLayout w:type="fixed"/>
        <w:tblCellMar>
          <w:top w:w="0" w:type="dxa"/>
          <w:left w:w="0" w:type="dxa"/>
          <w:bottom w:w="0" w:type="dxa"/>
          <w:right w:w="0" w:type="dxa"/>
        </w:tblCellMar>
      </w:tblPr>
      <w:tblGrid>
        <w:gridCol w:w="305"/>
        <w:gridCol w:w="2735"/>
      </w:tblGrid>
      <w:tr>
        <w:trPr/>
        <w:tc>
          <w:tcPr>
            <w:tcW w:w="305" w:type="dxa"/>
            <w:tcBorders/>
            <w:vAlign w:val="center"/>
          </w:tcPr>
          <w:p>
            <w:pPr>
              <w:pStyle w:val="TableContents"/>
              <w:bidi w:val="0"/>
              <w:spacing w:before="0" w:after="283"/>
              <w:jc w:val="left"/>
              <w:rPr/>
            </w:pPr>
            <w:r>
              <w:rPr/>
              <w:t>(1)</w:t>
            </w:r>
          </w:p>
        </w:tc>
        <w:tc>
          <w:tcPr>
            <w:tcW w:w="27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Audit Committee </w:t>
            </w:r>
          </w:p>
        </w:tc>
      </w:tr>
    </w:tbl>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283"/>
              <w:jc w:val="left"/>
              <w:rPr/>
            </w:pPr>
            <w:r>
              <w:rPr/>
              <w:t>(2)</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Compensation Committee </w:t>
            </w:r>
          </w:p>
        </w:tc>
      </w:tr>
    </w:tbl>
    <w:tbl>
      <w:tblPr>
        <w:tblW w:w="5770" w:type="dxa"/>
        <w:jc w:val="left"/>
        <w:tblInd w:w="0" w:type="dxa"/>
        <w:tblLayout w:type="fixed"/>
        <w:tblCellMar>
          <w:top w:w="0" w:type="dxa"/>
          <w:left w:w="0" w:type="dxa"/>
          <w:bottom w:w="0" w:type="dxa"/>
          <w:right w:w="0" w:type="dxa"/>
        </w:tblCellMar>
      </w:tblPr>
      <w:tblGrid>
        <w:gridCol w:w="305"/>
        <w:gridCol w:w="5465"/>
      </w:tblGrid>
      <w:tr>
        <w:trPr/>
        <w:tc>
          <w:tcPr>
            <w:tcW w:w="305" w:type="dxa"/>
            <w:tcBorders/>
            <w:vAlign w:val="center"/>
          </w:tcPr>
          <w:p>
            <w:pPr>
              <w:pStyle w:val="TableContents"/>
              <w:bidi w:val="0"/>
              <w:spacing w:before="0" w:after="283"/>
              <w:jc w:val="left"/>
              <w:rPr/>
            </w:pPr>
            <w:r>
              <w:rPr/>
              <w:t>(3)</w:t>
            </w:r>
          </w:p>
        </w:tc>
        <w:tc>
          <w:tcPr>
            <w:tcW w:w="54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Member of our Nominating and Corporate Governance Committee </w:t>
            </w:r>
          </w:p>
        </w:tc>
      </w:tr>
    </w:tbl>
    <w:p>
      <w:pPr>
        <w:pStyle w:val="TextBody"/>
        <w:bidi w:val="0"/>
        <w:spacing w:before="240" w:after="0"/>
        <w:jc w:val="both"/>
        <w:rPr>
          <w:rFonts w:ascii="Times New Roman" w:hAnsi="Times New Roman"/>
          <w:sz w:val="20"/>
        </w:rPr>
      </w:pPr>
      <w:r>
        <w:rPr>
          <w:rFonts w:ascii="Times New Roman" w:hAnsi="Times New Roman"/>
          <w:i/>
          <w:sz w:val="20"/>
        </w:rPr>
        <w:t>Alan Glicklich, M.D.</w:t>
      </w:r>
      <w:r>
        <w:rPr>
          <w:rFonts w:ascii="Times New Roman" w:hAnsi="Times New Roman"/>
          <w:sz w:val="20"/>
        </w:rPr>
        <w:t xml:space="preserve"> has served as a member of our Board of Directors since January 2025. Dr. Glicklich has served as the Chief Medical Officer of Lonestar Medicines since February 2026. From July 2023 to October 2025, Dr. Glicklich served as the Chief Medical Officer of Nuvig Therapeutics, Inc., a clinical-stage biotechnology company advancing a pipeline of immune therapeutics for chronic inflammatory and autoimmune diseases, and, prior to that, he served as an independent clinical consultant to Nuvig Therapeutics, Inc. from May 2022 to July 2023. He served as Chief Medical Officer of Chinook Therapeutics, Inc. (“Chinook”) from May 2020 to March 2022 where he focused on biologics and small molecules for rare, chronic kidney diseases. At Chinook, he built the clinical development, clinical operations, medical affairs, biometrics, regulatory, and pharmacovigilance teams, and designed and operationalized a successful Phase 3 registrational study for atrasentan in IgA nephropathy and multiple earlier phase studies across rare chronic kidney disease indications. Prior to Chinook, Dr. Glicklich served as Chief Medical Officer at Bird Rock Bio, Inc. from June 2015 to April 2020, focusing on monoclonal antibody development for inflammatory and fibrotic diseases. Prior to Bird Rock,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 Dr. Glicklich was Vice President of Clinical Development at Arena Pharmaceuticals, Inc. where he designed and operationalized the Phase 2 ralinepeg program in pulmonary artery hypertension and the etrasimod Phase 2 program in ulcerative colitis. Earlier in his career Dr. Glicklich held positions at BMS, Sanofi-Aventis, and Regeneron. Dr. Glicklich holds a B.A. in biology from the University of Chicago, an M.D. from the University of Wisconsin, and an MBA from the Emory University-Goizueta School of Business. The Board of Directors believes that Dr. Glicklich’s expertise and extensive experience in the biotechnology industry, including his leadership positions at companies advancing product candidates for chronic inflammatory, autoimmune and chronic kidney diseases, qualifies him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A. Rachel Leheny, Ph.D.</w:t>
      </w:r>
      <w:r>
        <w:rPr>
          <w:rFonts w:ascii="Times New Roman" w:hAnsi="Times New Roman"/>
          <w:sz w:val="20"/>
        </w:rPr>
        <w:t xml:space="preserve"> has served as our Chief Executive Officer and a member of the Board of Directors since March 2023. Prior to that, she served as Private CalciMedica’s Chief Executive Officer and a member of its board of directors from September 2019 to March 2023. Dr. Leheny has been a founding managing director of Valence Life Sciences since 2012. Dr. Leheny previously served on the board of directors of Dalcor Pharmaceuticals from June 2020 to January 2024 and previously served on the boards of directors of Anthera Pharmaceuticals, Inc. and Corthera, Inc. Additionally, from June 2006 to March 2014, Dr. Leheny served as a founding managing director of Caxton Advantage Venture Partners. From April 2000 to June 2002, she was head of the biotechnology research team at Lehman Brothers. From April 1998 to April 2000, Dr. Leheny headed the biotechnology research team at UBS Warburg and, before that, from April 1993 to April 1998, she worked at Hambrecht &amp; Quist, as managing director and senior biotechnology analyst. In 2007, Dr. Leheny became a founding board member of the Clearity Foundation and served as interim chief operating officer of Clearity from March 2015 to February 2017. Dr. Leheny holds an A.B. in Chemistry from Harvard University and a Ph.D. in Chemistry from Columbia University. She did post-doctoral work at the University of California at Berkeley, where she was a National Institutes of Health fellow and lecturer. The Board of Directors believes that Dr. Leheny’s extensive experience in the life sciences industry as a scientist, a research analyst at several investment banks, and as a venture capital investor, qualify her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 xml:space="preserve">Eric W. Roberts </w:t>
      </w:r>
      <w:r>
        <w:rPr>
          <w:rFonts w:ascii="Times New Roman" w:hAnsi="Times New Roman"/>
          <w:sz w:val="20"/>
        </w:rPr>
        <w:t xml:space="preserve">has served as our Chief Business Officer and member of the Board of Directors since March 2023. Prior to that, he served as Private CalciMedica’s Chief Business Officer and a member of its board of directors and its vice chairman from May 2020 to March 2023. Mr. Roberts has been a founding managing director of Valence Life Sciences since 2012. Mr. Roberts is also a founding member of Valence Investments SPV IV, Valence Investments SPV V and Valence Investments SPV VI. Additionally, from June 2006 to December 2019, Mr. Roberts served as a founding managing director of Caxton Advantage Venture Partners. From June 2015 to October 2019, Mr. Roberts served on the board of directors of VIVUS, Inc., a former publicly traded biopharmaceutical company. Mr. Roberts previously served as a member of the board of directors of Invuity, Inc. from June 2012 until its sale to Stryker Corporation in October 2018 and as a member of the board of directors of Gemin X Pharmaceuticals, Inc. from July 2008 until its sale to Cephalon, Inc. (now Teva Pharmaceutical Industries Ltd.) in March 2012. From 1986 to 2004, Mr. Roberts served in a variety of roles as an investment banker, including as co-head of the healthcare investment banking group at Lehman Brothers from April 2000 to January 2004, managing director and partner at Dillon, Read &amp; Co. Inc. from April 1989 to April 2000 and a member of Citicorp’s mergers and venture capital groups from June 1986 to April 1989. Mr. Roberts holds a B.S. in Economics from The Wharton School of the University of Pennsylvania. The Board of Directors believes that Mr. Roberts’s extensive experience in investment banking at several investment banks and experience as a venture capital investor as well as experience on a public and private company boards qualifies him to serve on the Board of Directors. </w:t>
      </w:r>
    </w:p>
    <w:p>
      <w:pPr>
        <w:pStyle w:val="TextBody"/>
        <w:bidi w:val="0"/>
        <w:spacing w:before="240" w:after="0"/>
        <w:jc w:val="both"/>
        <w:rPr>
          <w:rFonts w:ascii="Times New Roman" w:hAnsi="Times New Roman"/>
          <w:sz w:val="20"/>
        </w:rPr>
      </w:pPr>
      <w:r>
        <w:rPr>
          <w:rFonts w:ascii="Times New Roman" w:hAnsi="Times New Roman"/>
          <w:i/>
          <w:sz w:val="20"/>
        </w:rPr>
        <w:t xml:space="preserve">Frederic Guerard, Pharm.D. </w:t>
      </w:r>
      <w:r>
        <w:rPr>
          <w:rFonts w:ascii="Times New Roman" w:hAnsi="Times New Roman"/>
          <w:sz w:val="20"/>
        </w:rPr>
        <w:t xml:space="preserve">has served as a member of the Board of Directors since March 2023. Prior to that, he served as the President, Chief Executive Officer and member of the board of directors of Graybug Vision, Inc. from February 2019 to March 2023. Dr. Guerard has served as the President, Chief Executive Officer and member of the board of directors of Qlaris Bio, Inc. since March 2026. From October 2023 to September 2025, he served as the Chief Executive Officer and a director of Opthea Limited. From 1999 to February 2019, Dr. Guerard held key leadership roles at Novartis AG, a multinational pharmaceutical company, including Worldwide Business Franchise Head of Ophthalmology from April 2016 to February 2019, Global Franchise Head of Pharmaceuticals at Alcon Laboratories, a Novartis company, from May 2015 to April 2016,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Managing Director of the United Kingdom and Ireland from July 2012 to April 2015, and Country President and Managing Director of Australia and New Zealand from April 2009 to July 2012, among others. He has served on the boards of directors at Lenz Therapeutics since September 2021 where he serves as a member of the compensation committee of the board of directors and the audit committee of the board of directors, Spiral Therapeutics since April 2023 and Unither Pharmaceuticals since July 2023. Dr. Guerard holds a Pharm.D. and a Master of Biological and Medical Sciences from the University of Rouen, France and a Master of Marketing from HEC Paris. The Board of Directors believes that Dr. Guerard is qualified to serve on the Board of Directors because of his expertise and extensive experience serving in leadership positions at biotechnology companies. </w:t>
      </w:r>
    </w:p>
    <w:p>
      <w:pPr>
        <w:pStyle w:val="TextBody"/>
        <w:bidi w:val="0"/>
        <w:spacing w:before="240" w:after="0"/>
        <w:jc w:val="both"/>
        <w:rPr>
          <w:rFonts w:ascii="Times New Roman" w:hAnsi="Times New Roman"/>
          <w:sz w:val="20"/>
        </w:rPr>
      </w:pPr>
      <w:r>
        <w:rPr>
          <w:rFonts w:ascii="Times New Roman" w:hAnsi="Times New Roman"/>
          <w:i/>
          <w:sz w:val="20"/>
        </w:rPr>
        <w:t>Evgeny Zaytsev, M.D., Ph.D.</w:t>
      </w:r>
      <w:r>
        <w:rPr>
          <w:rFonts w:ascii="Times New Roman" w:hAnsi="Times New Roman"/>
          <w:sz w:val="20"/>
        </w:rPr>
        <w:t xml:space="preserve"> has been a member of the Board of Directors since July 2026. He currently serves on the board of directors of several private biotechnology and medical technology companies. Since April 2020, Dr. Zaytsev has served as the co-founder and managing partner of Bering Capital. From May 2020 to September 2021, Dr. Zaytsev was co-founder and executive chairman of Altesa BioSciences, Inc. Prior to Bering Capital, he co-founded and was a general partner of Helix Ventures, a life sciences venture capital firm, and previously held the roles of managing partner of RMI Partners and partner of Asset Management Company. He has also previously served as a member of the board of directors of several private and public biotechnology and medical technology companies. Dr. Zaytsev holds an M.D. in General Medicine from Altai State Medical University, a Ph.D. in Physiology from Altai State Medical University, and an M.B.A. from Stanford Graduate School of Business. The Board of Directors believes that Dr. Zaytsev’s extensive experience in life science venture capital and biotechnology investing, as well as his background on private and public company boards, qualifies him to serve on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any of the Company’s directors and executive officers. Except as described above, 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In May 2023, our Board of Directors adopted a non-employee director compensation policy (the “former non-employee director compensation policy”) that applied to all of our non-employee directors. This compensation policy provided that each such non-employee director would receive the following compensation for service on our Board of Directors: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cash retainer of $40,000;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$35,000 for services as the Chair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$7,500, $5,000 and $5,000 for service as a member of the Audit Committee, Compensation Committee and the Nominating and Corporate Governance Committee,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$15,000, $10,000 and $10,000 for service as Chair of the Audit Committee, Compensation Committee and the Nominating and Corporate Governance Committee, respectively (in lieu of the committee member retainer described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initial option grant to purchase 20,000 shares of common stock on the date of each non-employee director’s appointment to our Board of Directors, with the shares vesting in 36 equal monthly installments, subject to continued service as a director through each applicable vesting 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option grant to purchase 10,000 shares of common stock on the date of each of our annual stockholder meetings for each continuing director, with the shares vesting in 12 equal monthly installments, provided that all shares shall be vested on the date of the next annual stockholders meeting, subject to continued service as a director through each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Board of Directors adopted an amended and restated non-employee director compensation policy (the “non-employee director compensation policy”), effective March 26, 2025, that applies to all of our non-employee directors. As amended, the non-employee director compensation policy will allow the retainer fees to be paid in a form other than cash if approved by the Board of Directors or the Compensation Committee. </w:t>
      </w:r>
    </w:p>
    <w:p>
      <w:pPr>
        <w:pStyle w:val="TextBody"/>
        <w:bidi w:val="0"/>
        <w:spacing w:before="240" w:after="0"/>
        <w:jc w:val="both"/>
        <w:rPr>
          <w:rFonts w:ascii="Times New Roman" w:hAnsi="Times New Roman"/>
          <w:sz w:val="20"/>
        </w:rPr>
      </w:pPr>
      <w:r>
        <w:rPr>
          <w:rFonts w:ascii="Times New Roman" w:hAnsi="Times New Roman"/>
          <w:sz w:val="20"/>
        </w:rPr>
        <w:t xml:space="preserve">The annual retainer fees are payable to each non-employee director in equal quarterly installments, payable in arrears on the last day of each fiscal quarter in which the service occurred. If a non-employee director joins our Board of Directors or a committee of the Board at a time other than effective as of the first day of a fiscal quarter, each annual retainer set forth above will be pro-rated based on days served in the applicable fiscal quarter, with the pro-rated amount paid on the last day of the first fiscal quarter in which the non-employee director provides the service and regular full quarterly payments thereafter. All annual cash fees are vested upon payment. </w:t>
      </w:r>
    </w:p>
    <w:p>
      <w:pPr>
        <w:pStyle w:val="TextBody"/>
        <w:bidi w:val="0"/>
        <w:spacing w:before="240" w:after="0"/>
        <w:jc w:val="both"/>
        <w:rPr>
          <w:rFonts w:ascii="Times New Roman" w:hAnsi="Times New Roman"/>
          <w:sz w:val="20"/>
        </w:rPr>
      </w:pPr>
      <w:r>
        <w:rPr>
          <w:rFonts w:ascii="Times New Roman" w:hAnsi="Times New Roman"/>
          <w:sz w:val="20"/>
        </w:rPr>
        <w:t xml:space="preserve">Members of our Board of Directors are also eligible for reimbursement for their expenses incurred in attending meetings of the Board of Directors or any committees thereof. Reimbursements for any non-employee director did not exceed the $10,000 threshold for the year ended December 31, 2025, and thus are not included in the table below.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compensation earned by or paid to our non-employee directors for services provided during the year ended December 31, 2025. </w:t>
      </w:r>
    </w:p>
    <w:p>
      <w:pPr>
        <w:pStyle w:val="TextBody"/>
        <w:bidi w:val="0"/>
        <w:spacing w:before="0" w:after="0"/>
        <w:jc w:val="left"/>
        <w:rPr/>
      </w:pPr>
      <w:r>
        <w:rPr/>
        <w:t> </w:t>
      </w:r>
    </w:p>
    <w:tbl>
      <w:tblPr>
        <w:tblW w:w="5940" w:type="dxa"/>
        <w:jc w:val="left"/>
        <w:tblInd w:w="0" w:type="dxa"/>
        <w:tblLayout w:type="fixed"/>
        <w:tblCellMar>
          <w:top w:w="0" w:type="dxa"/>
          <w:left w:w="0" w:type="dxa"/>
          <w:bottom w:w="0" w:type="dxa"/>
          <w:right w:w="0" w:type="dxa"/>
        </w:tblCellMar>
      </w:tblPr>
      <w:tblGrid>
        <w:gridCol w:w="2210"/>
        <w:gridCol w:w="120"/>
        <w:gridCol w:w="221"/>
        <w:gridCol w:w="1074"/>
        <w:gridCol w:w="60"/>
        <w:gridCol w:w="120"/>
        <w:gridCol w:w="140"/>
        <w:gridCol w:w="800"/>
        <w:gridCol w:w="60"/>
        <w:gridCol w:w="120"/>
        <w:gridCol w:w="140"/>
        <w:gridCol w:w="80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52,469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62,469</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Fred Middleton</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13,125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60,658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73,783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15,625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71,922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87,547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22,500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88,713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111,213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 M.D.(3)</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105,214</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Bjerkholt(3)</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13,750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13,750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in this column represent the aggregate grant date fair value of the stock options granted to our directors during the year ended December 31, 2025 as computed in accordance with Financial Accounting Standards Board, Accounting Standards Codification Topic 718, Compensation—Stock Compensation (“FASB ASC Topic 718”). The assumptions used in calculating the aggregate grant date fair value of the stock options reported in this column are set forth in Note 7 to our financial statements included in our Annual Report on Form 10-K for the year ended December 31, 2025. These amounts do not reflect the actual economic value that will be realized by our directors upon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aggregate number of shares outstanding under all stock options held by our non-employee directors as of December 31, 2025 are set forth in the table below.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210"/>
        <w:gridCol w:w="120"/>
        <w:gridCol w:w="60"/>
        <w:gridCol w:w="80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20"/>
              <w:jc w:val="center"/>
              <w:rPr>
                <w:rFonts w:ascii="Times New Roman" w:hAnsi="Times New Roman"/>
                <w:b/>
                <w:sz w:val="16"/>
              </w:rPr>
            </w:pPr>
            <w:r>
              <w:rPr>
                <w:rFonts w:ascii="Times New Roman" w:hAnsi="Times New Roman"/>
                <w:b/>
                <w:sz w:val="16"/>
              </w:rPr>
              <w:t>Awards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Fred Middleton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86,249</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98,468</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 M.D.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60,103</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151,798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Bjerkholt resigned from our Board of Directors in January 2025 and any unvested options were cancelled on the date of his resignation. Dr. Glicklich was appointed to our Board of Directors in January 2025 to fill the vacancy created by Mr. Bjerkholt.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28288_7"/>
      <w:bookmarkEnd w:id="9"/>
      <w:r>
        <w:rPr>
          <w:rFonts w:ascii="Times New Roman" w:hAnsi="Times New Roman"/>
          <w:b/>
          <w:sz w:val="20"/>
        </w:rPr>
        <w:t xml:space="preserve">PROPOSAL NO.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APPOINTMENT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On April 1, 2026, the Audit Committee approved the engagement of Baker Tilly US, LLP (“Baker Tilly”) as our principal independent registered public accounting firm to perform the audit of our financial statements for the fiscal year ending December 31, 2026. Baker Tilly has audited our financial statements since June 3, 2025. We expect that representatives of Baker Tilly will be present online at the Annual Meeting, will be able to make a statement if they so desire and will be available to respond to appropriate questions. </w:t>
      </w:r>
    </w:p>
    <w:p>
      <w:pPr>
        <w:pStyle w:val="TextBody"/>
        <w:bidi w:val="0"/>
        <w:spacing w:before="240" w:after="0"/>
        <w:jc w:val="both"/>
        <w:rPr>
          <w:rFonts w:ascii="Times New Roman" w:hAnsi="Times New Roman"/>
          <w:sz w:val="20"/>
        </w:rPr>
      </w:pPr>
      <w:r>
        <w:rPr>
          <w:rFonts w:ascii="Times New Roman" w:hAnsi="Times New Roman"/>
          <w:sz w:val="20"/>
        </w:rPr>
        <w:t xml:space="preserve">At the Annual Meeting, the stockholders are being asked to ratify the appointment of Baker Tilly as our independent registered public accounting firm for the fiscal year ending December 31, 2026. Although ratification by stockholders is not required by law, our Audit Committee is submitting the selection of Baker Tilly to our stockholders because we value our stockholders’ views on our independent registered public accounting firm and as a matter of good corporate governance. If this proposal does not receive the affirmative approval from the holders of a majority of the voting power of the shares of stock entitled to vote on the matter that are present in person or represented by proxy at the Annual Meeting and are voted for or against the matter,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the Company’s best interests and the interests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Auditor </w:t>
      </w:r>
    </w:p>
    <w:p>
      <w:pPr>
        <w:pStyle w:val="TextBody"/>
        <w:bidi w:val="0"/>
        <w:spacing w:before="120" w:after="0"/>
        <w:jc w:val="both"/>
        <w:rPr>
          <w:rFonts w:ascii="Times New Roman" w:hAnsi="Times New Roman"/>
          <w:sz w:val="20"/>
        </w:rPr>
      </w:pPr>
      <w:r>
        <w:rPr>
          <w:rFonts w:ascii="Times New Roman" w:hAnsi="Times New Roman"/>
          <w:sz w:val="20"/>
        </w:rPr>
        <w:t xml:space="preserve">As previously reported, Ernst &amp; Young LLP (“EY”) was dismissed as our independent registered public accounting firm as of April 5, 2024. The decision to change our accounting firm was authorized by the Audit Committee. EY’s audit reports on our financial statements for the year ended December 31, 2023 did not contain an adverse opinion or a disclaimer of opinion and were not qualified or modified as to uncertainty, audit scope or accounting principles. </w:t>
      </w:r>
    </w:p>
    <w:p>
      <w:pPr>
        <w:pStyle w:val="TextBody"/>
        <w:bidi w:val="0"/>
        <w:spacing w:before="240" w:after="0"/>
        <w:jc w:val="both"/>
        <w:rPr>
          <w:rFonts w:ascii="Times New Roman" w:hAnsi="Times New Roman"/>
          <w:sz w:val="20"/>
        </w:rPr>
      </w:pPr>
      <w:r>
        <w:rPr>
          <w:rFonts w:ascii="Times New Roman" w:hAnsi="Times New Roman"/>
          <w:sz w:val="20"/>
        </w:rPr>
        <w:t xml:space="preserve">During our fiscal year ended December 31, 2023, and the subsequent interim period through April 5, 2024: (1) there were no “disagreements” (as defined in Item 304(a)(1)(iv) of Regulation S-K and the related instructions to Item 304) with EY on any matter of accounting principles or practices, financial statement disclosure, or auditing scope or procedure, which disagreements, if not resolved to the satisfaction of EY, would have caused EY to make reference to the subject matter of such disagreements in connection with its reports on the financial statements for such periods and (2) there were no “reportable events” (as defined in Item 304(a)(1)(v) of Regulation S-K), except for the disclosure of the following material weakness in our internal control over financial reporting, as disclosed in Part I, Item 4 of our Quarterly Reports on Form 10-Q for the quarters ended March 31, 2023, June 30, 2023 and September 30, 2023, filed with the SEC on May 12, 2023, August 11, 2023 and November 9, 2023, respectively: we did not design and maintain effective internal controls related to the accounting for the valuation of our convertible promissory notes and warrant liabilities. </w:t>
      </w:r>
    </w:p>
    <w:p>
      <w:pPr>
        <w:pStyle w:val="TextBody"/>
        <w:bidi w:val="0"/>
        <w:spacing w:before="240" w:after="0"/>
        <w:jc w:val="both"/>
        <w:rPr>
          <w:rFonts w:ascii="Times New Roman" w:hAnsi="Times New Roman"/>
          <w:sz w:val="20"/>
        </w:rPr>
      </w:pPr>
      <w:r>
        <w:rPr>
          <w:rFonts w:ascii="Times New Roman" w:hAnsi="Times New Roman"/>
          <w:sz w:val="20"/>
        </w:rPr>
        <w:t xml:space="preserve">EY’s letter to the SEC stating its agreement with the statements in the two foregoing paragraphs was filed as an exhibit to our Current Report on Form 8-K dated April 10, 2024.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previously reported, Moss Adams LLP (“Moss Adams”) notified us that it merged with Baker Tilly effective on June 3, 2025. The combined audit practices operate as Baker Tilly. In connection with the notification of the merger, Moss Adams resigned as our independent registered public accounting firm and our Audit Committee approved the appointment of Baker Tilly, as the successor to Moss Adams, as our independent registered public accounting firm effective on June 3,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audit report of Moss Adams on our consolidated financial statements for the year ended December 31, 2024 did not contain an adverse opinion or a disclaimer of opinion, nor was it qualified or modified as to uncertainty, audit scope or accounting principles.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years ended December 31, 2024 and 2023, and the subsequent interim period through June 3, 2025, there were no (a) disagreements with Moss Adams on any matter of accounting principles or practices, financial statement disclosure, or auditing scope or procedure, which, if not resolved to Moss Adams’ satisfaction, would have caused it to make reference to the subject matter of the disagreement in connection with its reports on the Company’s financial statements, or (b) reportable events requiring disclosure pursuant to Item 304(a)(1)(v) of Regulation S-K. </w:t>
      </w:r>
    </w:p>
    <w:p>
      <w:pPr>
        <w:pStyle w:val="TextBody"/>
        <w:bidi w:val="0"/>
        <w:spacing w:before="240" w:after="0"/>
        <w:jc w:val="both"/>
        <w:rPr>
          <w:rFonts w:ascii="Times New Roman" w:hAnsi="Times New Roman"/>
          <w:sz w:val="20"/>
        </w:rPr>
      </w:pPr>
      <w:r>
        <w:rPr>
          <w:rFonts w:ascii="Times New Roman" w:hAnsi="Times New Roman"/>
          <w:sz w:val="20"/>
        </w:rPr>
        <w:t xml:space="preserve">Moss Adams’ letter to the SEC stating its agreement with the statements in the two foregoing paragraphs was filed as an exhibit to our Current Report on Form 8-K dated June 6, 2025.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fees for professional audit services rendered by Baker Tilly for the audit of our annual financial statements for the year ended December 31, 2025. </w:t>
      </w:r>
    </w:p>
    <w:p>
      <w:pPr>
        <w:pStyle w:val="TextBody"/>
        <w:bidi w:val="0"/>
        <w:spacing w:before="0" w:after="0"/>
        <w:jc w:val="left"/>
        <w:rPr/>
      </w:pPr>
      <w:r>
        <w:rPr/>
        <w:t> </w:t>
      </w:r>
    </w:p>
    <w:tbl>
      <w:tblPr>
        <w:tblW w:w="2874" w:type="dxa"/>
        <w:jc w:val="left"/>
        <w:tblInd w:w="0" w:type="dxa"/>
        <w:tblLayout w:type="fixed"/>
        <w:tblCellMar>
          <w:top w:w="0" w:type="dxa"/>
          <w:left w:w="0" w:type="dxa"/>
          <w:bottom w:w="0" w:type="dxa"/>
          <w:right w:w="0" w:type="dxa"/>
        </w:tblCellMar>
      </w:tblPr>
      <w:tblGrid>
        <w:gridCol w:w="1700"/>
        <w:gridCol w:w="120"/>
        <w:gridCol w:w="145"/>
        <w:gridCol w:w="834"/>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Fees Billed</w:t>
            </w:r>
          </w:p>
        </w:tc>
        <w:tc>
          <w:tcPr>
            <w:tcW w:w="12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467,250</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32,990</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37,353</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537,593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both"/>
              <w:rPr/>
            </w:pPr>
            <w:r>
              <w:rPr/>
              <w:t>“</w:t>
            </w:r>
            <w:r>
              <w:rPr>
                <w:rFonts w:ascii="Times New Roman" w:hAnsi="Times New Roman"/>
                <w:sz w:val="20"/>
              </w:rPr>
              <w:t xml:space="preserve">Audit fees” include fees for professional services provided by Baker Tilly in connection with the audit of our financial statements, review of our quarterly financial statements, and related services that are typically provided in connection with registration statements.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pPr>
            <w:r>
              <w:rPr/>
              <w:t>“</w:t>
            </w:r>
            <w:r>
              <w:rPr>
                <w:rFonts w:ascii="Times New Roman" w:hAnsi="Times New Roman"/>
                <w:sz w:val="20"/>
              </w:rPr>
              <w:t xml:space="preserve">Audit-related fees” include fees billed for assurance and related services reasonably related to the performance of the audit or review of our financial statements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both"/>
              <w:rPr/>
            </w:pPr>
            <w:r>
              <w:rPr/>
              <w:t>“</w:t>
            </w:r>
            <w:r>
              <w:rPr>
                <w:rFonts w:ascii="Times New Roman" w:hAnsi="Times New Roman"/>
                <w:sz w:val="20"/>
              </w:rPr>
              <w:t xml:space="preserve">Tax fees” include fees for tax compliance and advice. Tax advice fees encompass a variety of permissible services, including technical tax advice related to federal and state income tax matters, assistance with sales tax, and assistance with tax audits.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Policy on Audit Committee Pre-Approval of Audit and Permissible Non-Audit Services of Independent Registered Public Accounting Firm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28288_8"/>
      <w:bookmarkEnd w:id="10"/>
      <w:r>
        <w:rPr>
          <w:rFonts w:ascii="Times New Roman" w:hAnsi="Times New Roman"/>
          <w:b/>
          <w:sz w:val="20"/>
        </w:rPr>
        <w:t xml:space="preserve">REPORT OF THE AUDIT COMMITTEE </w:t>
      </w:r>
    </w:p>
    <w:p>
      <w:pPr>
        <w:pStyle w:val="TextBody"/>
        <w:bidi w:val="0"/>
        <w:spacing w:before="240" w:after="0"/>
        <w:jc w:val="both"/>
        <w:rPr>
          <w:rFonts w:ascii="Times New Roman" w:hAnsi="Times New Roman"/>
          <w:sz w:val="20"/>
        </w:rPr>
      </w:pPr>
      <w:r>
        <w:rPr>
          <w:rFonts w:ascii="Times New Roman" w:hAnsi="Times New Roman"/>
          <w:sz w:val="20"/>
        </w:rPr>
        <w:t xml:space="preserve">The information contained in the following report of the Audit Committee is not considered to be “soliciting material,” “filed” or incorporated by reference in any past or future filing by us under the Exchange Act or Securities Act, unless and only to the extent that we specifically incorporate it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has reviewed and discussed with our management and Baker Tilly US, LLP our audited financial statements as of and for the year ended December 31, 2025. The Audit Committee has also discussed with Baker Tilly US, LLP the matters required to be discussed by the applicable requirements of the Public Company Accounting Oversight Board (United States) and the SEC.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has received and reviewed the written disclosures and the letter from Baker Tilly US, LLP required by applicable requirements of the Public Company Accounting Oversight Board regarding the independent accountant’s communications with the Audit Committee concerning independence, and has discussed with Baker Tilly US, LLP its independence. </w:t>
      </w:r>
    </w:p>
    <w:p>
      <w:pPr>
        <w:pStyle w:val="TextBody"/>
        <w:bidi w:val="0"/>
        <w:spacing w:before="240" w:after="0"/>
        <w:jc w:val="both"/>
        <w:rPr>
          <w:rFonts w:ascii="Times New Roman" w:hAnsi="Times New Roman"/>
          <w:sz w:val="20"/>
        </w:rPr>
      </w:pPr>
      <w:r>
        <w:rPr>
          <w:rFonts w:ascii="Times New Roman" w:hAnsi="Times New Roman"/>
          <w:sz w:val="20"/>
        </w:rPr>
        <w:t xml:space="preserve">Based on the review and discussions referred to above, the Audit Committee recommended to our Board of Directors that the audited financial statements as of and for the year ended December 31, 2025 be included in our Annual Report on Form 10-K for the year ended December 31, 2025 for filing with the SEC. </w:t>
      </w:r>
    </w:p>
    <w:p>
      <w:pPr>
        <w:pStyle w:val="TextBody"/>
        <w:bidi w:val="0"/>
        <w:spacing w:before="240" w:after="0"/>
        <w:jc w:val="center"/>
        <w:rPr>
          <w:rFonts w:ascii="Times New Roman" w:hAnsi="Times New Roman"/>
          <w:sz w:val="20"/>
        </w:rPr>
      </w:pPr>
      <w:r>
        <w:rPr>
          <w:rFonts w:ascii="Times New Roman" w:hAnsi="Times New Roman"/>
          <w:sz w:val="20"/>
        </w:rPr>
        <w:t xml:space="preserve">Submitted by the Audit Committee </w:t>
      </w:r>
    </w:p>
    <w:p>
      <w:pPr>
        <w:pStyle w:val="TextBody"/>
        <w:bidi w:val="0"/>
        <w:spacing w:before="0" w:after="0"/>
        <w:jc w:val="center"/>
        <w:rPr>
          <w:rFonts w:ascii="Times New Roman" w:hAnsi="Times New Roman"/>
          <w:sz w:val="20"/>
        </w:rPr>
      </w:pPr>
      <w:r>
        <w:rPr>
          <w:rFonts w:ascii="Times New Roman" w:hAnsi="Times New Roman"/>
          <w:sz w:val="20"/>
        </w:rPr>
        <w:t xml:space="preserve">Allan Shaw, Chair </w:t>
      </w:r>
    </w:p>
    <w:p>
      <w:pPr>
        <w:pStyle w:val="TextBody"/>
        <w:bidi w:val="0"/>
        <w:spacing w:before="0" w:after="0"/>
        <w:jc w:val="center"/>
        <w:rPr>
          <w:rFonts w:ascii="Times New Roman" w:hAnsi="Times New Roman"/>
          <w:sz w:val="20"/>
        </w:rPr>
      </w:pPr>
      <w:r>
        <w:rPr>
          <w:rFonts w:ascii="Times New Roman" w:hAnsi="Times New Roman"/>
          <w:sz w:val="20"/>
        </w:rPr>
        <w:t xml:space="preserve">Fred Middleton </w:t>
      </w:r>
    </w:p>
    <w:p>
      <w:pPr>
        <w:pStyle w:val="TextBody"/>
        <w:bidi w:val="0"/>
        <w:spacing w:before="0" w:after="0"/>
        <w:jc w:val="center"/>
        <w:rPr>
          <w:rFonts w:ascii="Times New Roman" w:hAnsi="Times New Roman"/>
          <w:sz w:val="20"/>
        </w:rPr>
      </w:pPr>
      <w:r>
        <w:rPr>
          <w:rFonts w:ascii="Times New Roman" w:hAnsi="Times New Roman"/>
          <w:sz w:val="20"/>
        </w:rPr>
        <w:t xml:space="preserve">Alan Glicklich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28288_9"/>
      <w:bookmarkEnd w:id="11"/>
      <w:r>
        <w:rPr>
          <w:rFonts w:ascii="Times New Roman" w:hAnsi="Times New Roman"/>
          <w:b/>
          <w:sz w:val="20"/>
        </w:rPr>
        <w:t xml:space="preserve">PROPOSAL NO. 3 </w:t>
      </w:r>
    </w:p>
    <w:p>
      <w:pPr>
        <w:pStyle w:val="TextBody"/>
        <w:bidi w:val="0"/>
        <w:spacing w:before="0" w:after="0"/>
        <w:jc w:val="center"/>
        <w:rPr>
          <w:rFonts w:ascii="Times New Roman" w:hAnsi="Times New Roman"/>
          <w:b/>
          <w:sz w:val="20"/>
        </w:rPr>
      </w:pPr>
      <w:r>
        <w:rPr>
          <w:rFonts w:ascii="Times New Roman" w:hAnsi="Times New Roman"/>
          <w:b/>
          <w:sz w:val="20"/>
        </w:rPr>
        <w:t xml:space="preserve">TO APPROVE AN AMENDMENT TO THE CALCIMEDICA, INC. AMENDED 2023 EQUITY INCENTIVE PLAN </w:t>
      </w:r>
    </w:p>
    <w:p>
      <w:pPr>
        <w:pStyle w:val="TextBody"/>
        <w:bidi w:val="0"/>
        <w:spacing w:before="240" w:after="0"/>
        <w:jc w:val="both"/>
        <w:rPr>
          <w:rFonts w:ascii="Times New Roman" w:hAnsi="Times New Roman"/>
          <w:sz w:val="20"/>
        </w:rPr>
      </w:pPr>
      <w:r>
        <w:rPr>
          <w:rFonts w:ascii="Times New Roman" w:hAnsi="Times New Roman"/>
          <w:sz w:val="20"/>
        </w:rPr>
        <w:t xml:space="preserve">On July 20, 2026, our Board of Directors amended the 2023 Plan, subject to stockholder approval, to increase the aggregate number of shares of our common stock authorized for issuance under the 2023 Plan by 7,500,000 shares to an aggregate of 12,333,690. We refer to the 2023 Plan, as so amended, as the “Amended 2023 Plan” throughout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2023 Plan currently provides that the number of shares reserved for issuance thereunder automatically increases on January 1 of each year commencing on January 1, 2024 and ending on (and including) January 1, 2033, in an amount equal to 5% of the total number of shares of our common stock outstanding on December 31 of the preceding year (the “Evergreen Mechanism”), unless our Board of Directors determines to increase the share pool by a lesser number of shares.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determined that it is in the best interests of the Company and our stockholders to seek stockholder approval of the Amended 2023 Plan as described in this Proposal 3. References in this Proposal 3 to our Board of Directors include the Compensation Committee of our Board of Directors, where applicable. </w:t>
      </w:r>
    </w:p>
    <w:p>
      <w:pPr>
        <w:pStyle w:val="TextBody"/>
        <w:bidi w:val="0"/>
        <w:spacing w:before="240" w:after="0"/>
        <w:jc w:val="both"/>
        <w:rPr>
          <w:rFonts w:ascii="Times New Roman" w:hAnsi="Times New Roman"/>
          <w:sz w:val="20"/>
        </w:rPr>
      </w:pPr>
      <w:r>
        <w:rPr>
          <w:rFonts w:ascii="Times New Roman" w:hAnsi="Times New Roman"/>
          <w:sz w:val="20"/>
        </w:rPr>
        <w:t xml:space="preserve">The material terms of the Amended 2023 Plan are summarized below. The key differences between the terms of the 2023 Plan and the Amended 2023 Plan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reserved for issuance under the Amended 2023 Plan is increased by shares such that, subject to adjustment for certain changes in our capitalization, the aggregate number of shares of our common stock that may be issued under the Amended 2023 Plan will not exceed 12,333,690 shares, which is the sum of (i) 1,000,000 shares originally reserved for issuance under the 2023 Plan, (ii) 1,733,690 shares that were added to the share reserve of the 2023 Plan pursuant to automatic annual increases on January 1, 2024, January 1, 2025 and January 1, 2026, (iii) 1,500,000 shares that were approved by our stockholders at our 2024 annual meeting of stockholders, (iv) 600,000 shares that were approved by our stockholders at our 2025 annual meeting of stockholders, and (v) 7,500,000 new shares subject to approval of this Proposal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maximum number of awards that may be granted as incentive stock options (“ISOs”) under the Amended 2023 Plan will be increased from 12,185,460 shares to 37,001,070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Evergreen Mechanism will be modified to provide that the number of shares of our common stock added automatically on January 1 of each year from 2027 through (and including) 2033 be equal to 5.0% of the sum of (x) the total number of shares of our common stock outstanding on December 31st of the preceding calendar year, plus (y) the total number of shares of our common stock issuable upon conversion of shares of convertible preferred stock outstanding on December 31st of the preceding calendar year, plus (z) the total number of shares of our common stock issuable upon exercise of pre-funded warrants outstanding on December 31st of the preceding calendar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Awards Are an Integral Component of Our Compensation Program </w:t>
      </w:r>
    </w:p>
    <w:p>
      <w:pPr>
        <w:pStyle w:val="TextBody"/>
        <w:bidi w:val="0"/>
        <w:spacing w:before="120" w:after="0"/>
        <w:jc w:val="both"/>
        <w:rPr>
          <w:rFonts w:ascii="Times New Roman" w:hAnsi="Times New Roman"/>
          <w:sz w:val="20"/>
        </w:rPr>
      </w:pPr>
      <w:r>
        <w:rPr>
          <w:rFonts w:ascii="Times New Roman" w:hAnsi="Times New Roman"/>
          <w:sz w:val="20"/>
        </w:rPr>
        <w:t xml:space="preserve">Equity awards have been historically and, we believe, will continue to be an integral component of our overall compensation program for our employees, directors, and consultants. Approval of the Amended 2023 Plan will allow us to continue to grant equity awards at levels we determine to be appropriate in order to secure and retain the services of employees, directors, and consultants and to provide incentives for such persons to exert maximum efforts for the Company’s success and ultimately increase stockholder value. The Amended 2023 Plan allows the Company to utilize a broad array of equity incentives with flexibility in designing such incentives, including traditional option grants, stock appreciation rights, restricted stock awards, restricted stock unit awards and performance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provides certain additional information regarding our use of equity awards as of July 9, 2026: </w:t>
      </w:r>
    </w:p>
    <w:p>
      <w:pPr>
        <w:pStyle w:val="TextBody"/>
        <w:bidi w:val="0"/>
        <w:spacing w:before="0" w:after="0"/>
        <w:jc w:val="left"/>
        <w:rPr/>
      </w:pPr>
      <w:r>
        <w:rPr/>
        <w:t> </w:t>
      </w:r>
    </w:p>
    <w:tbl>
      <w:tblPr>
        <w:tblW w:w="9930" w:type="dxa"/>
        <w:jc w:val="left"/>
        <w:tblInd w:w="0" w:type="dxa"/>
        <w:tblLayout w:type="fixed"/>
        <w:tblCellMar>
          <w:top w:w="0" w:type="dxa"/>
          <w:left w:w="0" w:type="dxa"/>
          <w:bottom w:w="0" w:type="dxa"/>
          <w:right w:w="0" w:type="dxa"/>
        </w:tblCellMar>
      </w:tblPr>
      <w:tblGrid>
        <w:gridCol w:w="7685"/>
        <w:gridCol w:w="60"/>
        <w:gridCol w:w="205"/>
        <w:gridCol w:w="1615"/>
        <w:gridCol w:w="365"/>
      </w:tblGrid>
      <w:tr>
        <w:trPr/>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July 9, 2026</w:t>
            </w:r>
          </w:p>
        </w:tc>
        <w:tc>
          <w:tcPr>
            <w:tcW w:w="36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4,682,290</w:t>
            </w:r>
          </w:p>
        </w:tc>
        <w:tc>
          <w:tcPr>
            <w:tcW w:w="365" w:type="dxa"/>
            <w:tcBorders/>
            <w:shd w:fill="CCEEFF" w:val="clear"/>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2.36</w:t>
            </w:r>
          </w:p>
        </w:tc>
        <w:tc>
          <w:tcPr>
            <w:tcW w:w="36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in years of outstanding stock options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8.33</w:t>
            </w:r>
          </w:p>
        </w:tc>
        <w:tc>
          <w:tcPr>
            <w:tcW w:w="365" w:type="dxa"/>
            <w:tcBorders/>
            <w:shd w:fill="CCEEFF" w:val="clear"/>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full value awards</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22,500</w:t>
            </w:r>
          </w:p>
        </w:tc>
        <w:tc>
          <w:tcPr>
            <w:tcW w:w="36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other equity incentive plans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30,736,401</w:t>
            </w:r>
          </w:p>
        </w:tc>
        <w:tc>
          <w:tcPr>
            <w:tcW w:w="36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reserved for issuance upon the exercise of warrants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45,769,195</w:t>
            </w:r>
          </w:p>
        </w:tc>
        <w:tc>
          <w:tcPr>
            <w:tcW w:w="365" w:type="dxa"/>
            <w:tcBorders/>
            <w:shd w:fill="CCEEFF" w:val="clear"/>
            <w:vAlign w:val="center"/>
          </w:tcPr>
          <w:p>
            <w:pPr>
              <w:pStyle w:val="TableContents"/>
              <w:bidi w:val="0"/>
              <w:spacing w:before="0" w:after="283"/>
              <w:jc w:val="left"/>
              <w:rPr/>
            </w:pPr>
            <w:r>
              <w:rPr/>
              <w:t>(1)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 Capital Market</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0.9499</w:t>
            </w:r>
          </w:p>
        </w:tc>
        <w:tc>
          <w:tcPr>
            <w:tcW w:w="3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shares of common stock reserved for issuance pursuant to the Series A Warrants and Series B Warrants described in Proposal No. 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Size of Our Share Reserve Request Is Reasonable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3 is approved by our stockholders, then subject to adjustment for certain changes in our capitalization, an additional 7,500,000 shares of our common stock will be available for issuance under the Amended 2023 Plan. In addition, as further described below under the section entitled “—Description of the Amended 2023 Plan—Authorized Shares,” the share reserve is subject to annual increases each January 1 for the first ten years commencing on January 1, 2024 of up to 5% of shares of our common stock outstanding (including shares issuable upon conversion or exercise of convertible preferred stock and pre-funded warrants, as applicable) on the preceding December 31 (or a lesser number determined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believes this pool size is necessary to provide sufficient reserved shares for a level of grants that will attract, retain, and motivate employees and other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We Manage Our Equity Incentive Award Use Carefully </w:t>
      </w:r>
    </w:p>
    <w:p>
      <w:pPr>
        <w:pStyle w:val="TextBody"/>
        <w:bidi w:val="0"/>
        <w:spacing w:before="120" w:after="0"/>
        <w:jc w:val="both"/>
        <w:rPr>
          <w:rFonts w:ascii="Times New Roman" w:hAnsi="Times New Roman"/>
          <w:sz w:val="20"/>
        </w:rPr>
      </w:pPr>
      <w:r>
        <w:rPr>
          <w:rFonts w:ascii="Times New Roman" w:hAnsi="Times New Roman"/>
          <w:sz w:val="20"/>
        </w:rPr>
        <w:t xml:space="preserve">We continue to believe that equity awards are a vital part of our overall compensation program. Our compensation philosophy reflects broad-based eligibility for equity incentive awards, and we grant awards to substantially all of our employees. However, we recognize that equity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Amended 2023 Plan </w:t>
      </w:r>
    </w:p>
    <w:p>
      <w:pPr>
        <w:pStyle w:val="TextBody"/>
        <w:bidi w:val="0"/>
        <w:spacing w:before="120" w:after="0"/>
        <w:jc w:val="both"/>
        <w:rPr>
          <w:rFonts w:ascii="Times New Roman" w:hAnsi="Times New Roman"/>
          <w:sz w:val="20"/>
        </w:rPr>
      </w:pPr>
      <w:r>
        <w:rPr>
          <w:rFonts w:ascii="Times New Roman" w:hAnsi="Times New Roman"/>
          <w:sz w:val="20"/>
        </w:rPr>
        <w:t xml:space="preserve">A summary description of the material features of the Amended 2023 Plan is set forth below. The following summary does not purport to be a complete description of all the provisions of the Amended 2023 Plan and is qualified by reference to the Amended 2023 Plan, the form of which is attached to this Proxy Statement as Appendix A and incorporated by reference in its entirety. Stockholders should refer to the Amended 2023 Plan for more complete and detailed information about the terms and conditions of the Amended 2023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Any individual who is an employee of us or any of our affiliates, or any person who provides services to us or our affiliates, including members of our Board of Directors, is eligible to receive awards under the Amended 2023 Plan at the discretion of the plan administrator. </w:t>
      </w:r>
    </w:p>
    <w:p>
      <w:pPr>
        <w:pStyle w:val="TextBody"/>
        <w:bidi w:val="0"/>
        <w:spacing w:before="240" w:after="0"/>
        <w:jc w:val="both"/>
        <w:rPr>
          <w:rFonts w:ascii="Times New Roman" w:hAnsi="Times New Roman"/>
          <w:sz w:val="20"/>
        </w:rPr>
      </w:pPr>
      <w:r>
        <w:rPr>
          <w:rFonts w:ascii="Times New Roman" w:hAnsi="Times New Roman"/>
          <w:sz w:val="20"/>
        </w:rPr>
        <w:t xml:space="preserve">As of July 9, 2026, we (including our affiliates) had 13 employees, eight directors and approximately 24 consultants.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both"/>
        <w:rPr>
          <w:rFonts w:ascii="Times New Roman" w:hAnsi="Times New Roman"/>
          <w:sz w:val="20"/>
        </w:rPr>
      </w:pPr>
      <w:r>
        <w:rPr>
          <w:rFonts w:ascii="Times New Roman" w:hAnsi="Times New Roman"/>
          <w:sz w:val="20"/>
        </w:rPr>
        <w:t xml:space="preserve">The Amended 2023 Plan provides for the grant of ISOs within the meaning of Section 422 of the Internal Revenue Code of 1986, as amended (the “Code”) to employees, including employees of any parent or subsidiary, and for the grant of nonstatutory stock options (“NSOs”), stock appreciation rights, restricted stock awards, restricted stock unit awards, performance awards and other forms of awards to employees, directors and consultants, including employees and consultants of our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Shares </w:t>
      </w:r>
    </w:p>
    <w:p>
      <w:pPr>
        <w:pStyle w:val="TextBody"/>
        <w:bidi w:val="0"/>
        <w:spacing w:before="120" w:after="0"/>
        <w:jc w:val="both"/>
        <w:rPr>
          <w:rFonts w:ascii="Times New Roman" w:hAnsi="Times New Roman"/>
          <w:sz w:val="20"/>
        </w:rPr>
      </w:pPr>
      <w:r>
        <w:rPr>
          <w:rFonts w:ascii="Times New Roman" w:hAnsi="Times New Roman"/>
          <w:sz w:val="20"/>
        </w:rPr>
        <w:t xml:space="preserve">Subject to adjustments for certain changes in our capitalization, the maximum number of shares of our common stock that may be issued under the Amended 2023 Plan is 12,333,690 shares, which is the sum of: (i) 1,000,000 shares initially reserved under the 2023 Plan, (ii) 1,733,690 shares that were added pursuant to the annual automatic share increases on January 1, 2024, January 1, 2025 and January 1, 2026, (iii) 1,500,000 shares that were approved by our stockholders at our 2024 annual meeting of stockholders, (iv) 600,000 shares that were approved by our stockholders at our 2025 annual meeting of stockholders, and (v) 7,500,000 new shares that are subject to approval by our stockholders under this Proposal No. 3. Contingent upon approval of this Proposal No. 3, the maximum number of shares that may be issued upon the exercise of ISOs under our Amended 2023 Plan is 37,001,070 shares. </w:t>
      </w:r>
    </w:p>
    <w:p>
      <w:pPr>
        <w:pStyle w:val="TextBody"/>
        <w:bidi w:val="0"/>
        <w:spacing w:before="240" w:after="0"/>
        <w:jc w:val="both"/>
        <w:rPr>
          <w:rFonts w:ascii="Times New Roman" w:hAnsi="Times New Roman"/>
          <w:sz w:val="20"/>
        </w:rPr>
      </w:pPr>
      <w:r>
        <w:rPr>
          <w:rFonts w:ascii="Times New Roman" w:hAnsi="Times New Roman"/>
          <w:sz w:val="20"/>
        </w:rPr>
        <w:t xml:space="preserve">Shares subject to awards granted under the Amended 2023 Plan that expire or terminate without being exercised or otherwise issued in full or that are paid out in cash rather than in shares do not reduce the number of shares available for issuance under the Amended 2023 Plan. Shares withheld under an award to satisfy the exercise, strike or purchase price of an award or to satisfy a tax withholding obligation do not reduce the number of shares available for issuance under the Amended 2023 Plan. If any shares of our common stock issued pursuant to an award are forfeited back to or repurchased or reacquired by us (i) because of the failure to vest, (ii) to satisfy the exercise, strike or purchase price or (iii) to satisfy a tax withholding obligation in connection with an award, the shares that are forfeited, repurchased or reacquired will revert to and again become available for issuance under the Amended 2023 Plan. </w:t>
      </w:r>
    </w:p>
    <w:p>
      <w:pPr>
        <w:pStyle w:val="TextBody"/>
        <w:bidi w:val="0"/>
        <w:spacing w:before="240" w:after="0"/>
        <w:jc w:val="both"/>
        <w:rPr>
          <w:rFonts w:ascii="Times New Roman" w:hAnsi="Times New Roman"/>
          <w:sz w:val="20"/>
        </w:rPr>
      </w:pPr>
      <w:r>
        <w:rPr>
          <w:rFonts w:ascii="Times New Roman" w:hAnsi="Times New Roman"/>
          <w:sz w:val="20"/>
        </w:rPr>
        <w:t xml:space="preserve">The Evergreen Mechanism under the Amended 2023 Plan provides for an automatic increase in the number of shares reserved for issuance thereunder on January 1 of each calendar year from 2027 through (and including) 2033 equal to (1) 5.0% of the sum of (x) the total number of shares of our common stock outstanding on December 31st of the preceding calendar year, plus (y) the total number of shares of our common stock issuable upon conversion of shares of convertible preferred stock outstanding on December 31st of the preceding calendar year, plus (z) the total number of shares of our common stock issuable upon exercise of pre-funded warrants outstanding on December 31st of the preceding calendar year, or (2) a lesser amount as may be approved by our Board of Directors each year. </w:t>
      </w:r>
    </w:p>
    <w:p>
      <w:pPr>
        <w:pStyle w:val="TextBody"/>
        <w:bidi w:val="0"/>
        <w:spacing w:before="240" w:after="0"/>
        <w:jc w:val="both"/>
        <w:rPr>
          <w:rFonts w:ascii="Times New Roman" w:hAnsi="Times New Roman"/>
          <w:sz w:val="20"/>
        </w:rPr>
      </w:pPr>
      <w:r>
        <w:rPr>
          <w:rFonts w:ascii="Times New Roman" w:hAnsi="Times New Roman"/>
          <w:sz w:val="20"/>
        </w:rPr>
        <w:t xml:space="preserve">If this Proposal No. 3 is approved by our stockholders, the Company will file a Registration Statement on Form S-8 with the SEC with respect to the shares of our common stock to be registered pursuant to the Amended 2023 Plan, as soon as reasonably practicable following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Non-Employee Director Compensation Limit </w:t>
      </w:r>
    </w:p>
    <w:p>
      <w:pPr>
        <w:pStyle w:val="TextBody"/>
        <w:bidi w:val="0"/>
        <w:spacing w:before="120" w:after="0"/>
        <w:jc w:val="both"/>
        <w:rPr>
          <w:rFonts w:ascii="Times New Roman" w:hAnsi="Times New Roman"/>
          <w:sz w:val="20"/>
        </w:rPr>
      </w:pPr>
      <w:r>
        <w:rPr>
          <w:rFonts w:ascii="Times New Roman" w:hAnsi="Times New Roman"/>
          <w:sz w:val="20"/>
        </w:rPr>
        <w:t xml:space="preserve">The aggregate value of all compensation granted or paid to any non-employee director with respect to any calendar year, including awards granted and cash fees paid to such non-employee director, will not exceed (i) $750,000 in total value or (ii) if such non-employee director is first appointed or elected to our Board of Directors during such calendar year, $1 million in total value, in each case, calculating the value of any equity awards based on the grant date fair value of such equity awards for financial reporting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Administration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or a duly authorized committee thereof, administers the Amended 2023 Plan and is referred to as the “plan administrator” herein. Our Board of Directors may also delegate to one or more of our officers the authority to (i) designate employees (other than officers) to receive specified awards and, to the extent permitted by applicable law, the terms thereof and (ii) determine the number of shares subject to such awards. Under the Amended 2023 Plan, our Board of Directors has the authority to determine award recipients, grant dates, the numbers and types of awards to be granted, the applicable fair market value, and the provisions of each award, including the period of exercisability and the vesting schedule applicable to an award. </w:t>
      </w:r>
    </w:p>
    <w:p>
      <w:pPr>
        <w:pStyle w:val="TextBody"/>
        <w:bidi w:val="0"/>
        <w:spacing w:before="240" w:after="0"/>
        <w:jc w:val="both"/>
        <w:rPr>
          <w:rFonts w:ascii="Times New Roman" w:hAnsi="Times New Roman"/>
          <w:sz w:val="20"/>
        </w:rPr>
      </w:pPr>
      <w:r>
        <w:rPr>
          <w:rFonts w:ascii="Times New Roman" w:hAnsi="Times New Roman"/>
          <w:sz w:val="20"/>
        </w:rPr>
        <w:t xml:space="preserve">Under the Amended 2023 Plan, our Board of Directors also generally has the authority to effect, without the approval of stockholders but with the consent of any participant whose award is materially impaired by such action,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ISOs and NSOs are granted under stock option agreements adopted by the plan administrator. The plan administrator determines the exercise price for stock options, within the terms and conditions of the Amended 2023 Plan, provided that the exercise price of a stock option generally cannot be less than 100% of the fair market value of a share of our common stock on the date of grant. Options granted under the Amended 2023 Plan vest at the rate specified in the stock option agreement as determined by the plan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The plan administrator determines the term of stock options granted under the Amended 2023 Plan, up to a maximum of 10 years. Unless the terms of an optionholder’s stock option agreement provide otherwise or as otherwise provided by the plan administrator,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Unless the terms of an optionholder’s stock option agreement provide otherwise or as otherwise provided by the plan administrator,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240" w:after="0"/>
        <w:jc w:val="both"/>
        <w:rPr>
          <w:rFonts w:ascii="Times New Roman" w:hAnsi="Times New Roman"/>
          <w:sz w:val="20"/>
        </w:rPr>
      </w:pPr>
      <w:r>
        <w:rPr>
          <w:rFonts w:ascii="Times New Roman" w:hAnsi="Times New Roman"/>
          <w:sz w:val="20"/>
        </w:rPr>
        <w:t xml:space="preserve">Acceptable consideration for the purchase of our common stock issued upon the exercise of a stock option will be determined by the plan administrator and may include (i) cash, check, bank draft or money order, (ii) a broker-assisted cashless exercise, (iii) the tender of shares of our common stock previously owned by the optionholder, (iv) a net exercise of the option if it is an NSO or (v) other legal consideration approved by the plan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Limitations on ISOs </w:t>
      </w:r>
    </w:p>
    <w:p>
      <w:pPr>
        <w:pStyle w:val="TextBody"/>
        <w:bidi w:val="0"/>
        <w:spacing w:before="120" w:after="0"/>
        <w:jc w:val="both"/>
        <w:rPr>
          <w:rFonts w:ascii="Times New Roman" w:hAnsi="Times New Roman"/>
          <w:sz w:val="20"/>
        </w:rPr>
      </w:pPr>
      <w:r>
        <w:rPr>
          <w:rFonts w:ascii="Times New Roman" w:hAnsi="Times New Roman"/>
          <w:sz w:val="20"/>
        </w:rPr>
        <w:t xml:space="preserve">The aggregate fair market value, determined at the time of grant, of our 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bidi w:val="0"/>
        <w:spacing w:before="120" w:after="0"/>
        <w:jc w:val="both"/>
        <w:rPr>
          <w:rFonts w:ascii="Times New Roman" w:hAnsi="Times New Roman"/>
          <w:sz w:val="20"/>
        </w:rPr>
      </w:pPr>
      <w:r>
        <w:rPr>
          <w:rFonts w:ascii="Times New Roman" w:hAnsi="Times New Roman"/>
          <w:sz w:val="20"/>
        </w:rPr>
        <w:t xml:space="preserve">Restricted stock unit awards are granted under restricted stock unit award agreements adopted by the plan administrator. Restricted stock unit awards may be granted in consideration for any form of legal consideration that may be acceptable to the plan administrator and permissible under applicable law. A restricted stock unit award may be settled by cash, delivery of shares of our common stock, a combination of cash and shares of our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both"/>
        <w:rPr>
          <w:rFonts w:ascii="Times New Roman" w:hAnsi="Times New Roman"/>
          <w:sz w:val="20"/>
        </w:rPr>
      </w:pPr>
      <w:r>
        <w:rPr>
          <w:rFonts w:ascii="Times New Roman" w:hAnsi="Times New Roman"/>
          <w:sz w:val="20"/>
        </w:rPr>
        <w:t xml:space="preserve">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both"/>
        <w:rPr>
          <w:rFonts w:ascii="Times New Roman" w:hAnsi="Times New Roman"/>
          <w:sz w:val="20"/>
        </w:rPr>
      </w:pPr>
      <w:r>
        <w:rPr>
          <w:rFonts w:ascii="Times New Roman" w:hAnsi="Times New Roman"/>
          <w:sz w:val="20"/>
        </w:rPr>
        <w:t xml:space="preserve">Stock appreciation rights are granted under stock appreciation right agreements adopted by the plan administrator. The plan administrator determines the strike price for a stock appreciation right, which generally cannot be less than 100% of the fair market value of a share of our common stock on the date of grant. A stock appreciation right granted under the Amended 2023 Plan vests at the rate specified in the stock appreciation right agreement as determined by the plan administrator. Stock appreciation rights may be settled in cash or shares of our common stock or in any other form of payment, as determined by the plan administrator and specified in the stock appreciation right agreement. </w:t>
      </w:r>
    </w:p>
    <w:p>
      <w:pPr>
        <w:pStyle w:val="TextBody"/>
        <w:bidi w:val="0"/>
        <w:spacing w:before="240" w:after="0"/>
        <w:jc w:val="both"/>
        <w:rPr>
          <w:rFonts w:ascii="Times New Roman" w:hAnsi="Times New Roman"/>
          <w:sz w:val="20"/>
        </w:rPr>
      </w:pPr>
      <w:r>
        <w:rPr>
          <w:rFonts w:ascii="Times New Roman" w:hAnsi="Times New Roman"/>
          <w:sz w:val="20"/>
        </w:rPr>
        <w:t xml:space="preserve">The plan administrator determines the term of stock appreciation rights granted under the Amended 2023 Plan, up to a maximum of 10 years. Unless the terms of a participant’s stock appreciation rights agreement provide otherwise or as otherwise provided by the plan administrator,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extended in the event that exercise of the stock appreciation right following such a termination of service is prohibited by applicable securities laws. Unless the terms of a participant’s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appreciation rights agreement provide otherwise or as otherwise provided by the plan administrator,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both"/>
        <w:rPr>
          <w:rFonts w:ascii="Times New Roman" w:hAnsi="Times New Roman"/>
          <w:sz w:val="20"/>
        </w:rPr>
      </w:pPr>
      <w:r>
        <w:rPr>
          <w:rFonts w:ascii="Times New Roman" w:hAnsi="Times New Roman"/>
          <w:sz w:val="20"/>
        </w:rPr>
        <w:t xml:space="preserve">The Amended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performance goals may be based on any measure of performance selected by the plan administrator. The performance goals may be based on a company-wide basis, with respect to one or more business units, divisions, affiliates or segments and may be either absolute or relative to the performance of one or more comparable companies or the performance of one or more relevant indices. Unless specified otherwise by the plan administrator when the performance award is granted, the plan administrator will appropriately make adjustments in the method of calculating the attainment of performance goals for a performance period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 In addition, our Board of Directors may establish or provide for other adjustment items in the award agreement at the time the award is granted or in such other document setting forth the performance goals at the time the performance goals are established.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Awards </w:t>
      </w:r>
    </w:p>
    <w:p>
      <w:pPr>
        <w:pStyle w:val="TextBody"/>
        <w:bidi w:val="0"/>
        <w:spacing w:before="120" w:after="0"/>
        <w:jc w:val="both"/>
        <w:rPr>
          <w:rFonts w:ascii="Times New Roman" w:hAnsi="Times New Roman"/>
          <w:sz w:val="20"/>
        </w:rPr>
      </w:pPr>
      <w:r>
        <w:rPr>
          <w:rFonts w:ascii="Times New Roman" w:hAnsi="Times New Roman"/>
          <w:sz w:val="20"/>
        </w:rPr>
        <w:t xml:space="preserve">The plan administrator may grant other awards based in whole or in part by reference to our common stock. The plan administrator will set the number of shares under the award (or cash equivalent) and all other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Capital Structure </w:t>
      </w:r>
    </w:p>
    <w:p>
      <w:pPr>
        <w:pStyle w:val="TextBody"/>
        <w:bidi w:val="0"/>
        <w:spacing w:before="120" w:after="0"/>
        <w:jc w:val="both"/>
        <w:rPr>
          <w:rFonts w:ascii="Times New Roman" w:hAnsi="Times New Roman"/>
          <w:sz w:val="20"/>
        </w:rPr>
      </w:pPr>
      <w:r>
        <w:rPr>
          <w:rFonts w:ascii="Times New Roman" w:hAnsi="Times New Roman"/>
          <w:sz w:val="20"/>
        </w:rPr>
        <w:t xml:space="preserve">In the event there is a specified type of change in our capital structure, such as a stock split, reverse stock split or recapitalization, appropriate adjustments will be made to (i) the class and maximum number of shares reserved for issuance under the Amended 2023 Plan, (ii) the class of shares used to determine the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applies to awards under the Amended 2023 Plan in the event of a corporate transaction (as defined in the Amended 2023 Plan), unless otherwise provided in a participant’s award agreement or other written agreement with us or one of our affiliates or unless otherwise expressly provided by the plan administrator at the time of grant.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 corporate transaction, any awards outstanding under the Amended 2023 Plan may be assumed, continued or substituted for by any surviving or acquiring corporation (or its parent company), and any reacquisition or repurchase rights held by us with respect to the award may be assigned to our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effective time of the corporate transaction, except that any reacquisition or repurchase rights held by us with respect to such awards will not terminate and may continue to be exercised notwithstanding the corporate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the event an award will terminate if not exercised prior to the effective time of a corporate transaction, the plan administrator may provide, in its sole discretion, that the holder of such award may not exercise such award but instead will receive a payment equal in value to the excess (if any) of (i) the value of the property the participant would have received upon the exercise of the award (including, at the discretion of the Board of Directors, any unvested portion of such award), over (ii) any exercise price payable by such holder in connection with such exercise, if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Amendment or Termination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the authority to amend, suspend, or terminate the Amended 2023 Plan at any time, provided that such action does not materially impair the existing rights of any participant without such participant’s written consent. Certain material amendments also require stockholder approval. No ISOs may be granted after the tenth anniversary of the date our Board of Directors first approved the 2023 Plan. No awards may be granted under the Amended 2023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summary of the principal U.S. federal income tax consequences to participants and us with respect to participation in the Amended 2023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such participant’s particular situation, each participant should consult the participant’s tax adviser regarding the federal, state, local and other tax consequences of the grant or exercise of an award or the disposition of stock acquired under the Amended 2023 Plan. The Amended 2023 Plan is not qualified under the provisions of Section 401(a) of the Code and is not subject to any of the provisions of the Employee Retirement Income Security Act of 1974, as amended. Our ability to realize the benefit of any tax deductions described below depends on our generation of taxable income as well as the requirement of reasonableness and the satisfaction of our tax reporting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Nonstatutory Stock Options </w:t>
      </w:r>
    </w:p>
    <w:p>
      <w:pPr>
        <w:pStyle w:val="TextBody"/>
        <w:bidi w:val="0"/>
        <w:spacing w:before="120" w:after="0"/>
        <w:jc w:val="both"/>
        <w:rPr>
          <w:rFonts w:ascii="Times New Roman" w:hAnsi="Times New Roman"/>
          <w:sz w:val="20"/>
        </w:rPr>
      </w:pPr>
      <w:r>
        <w:rPr>
          <w:rFonts w:ascii="Times New Roman" w:hAnsi="Times New Roman"/>
          <w:sz w:val="20"/>
        </w:rPr>
        <w:t xml:space="preserve">Generally, there is no taxation upon the grant of an NSO.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we will generally be entitled to a tax deduction equal to the taxable ordinary income realized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both"/>
        <w:rPr>
          <w:rFonts w:ascii="Times New Roman" w:hAnsi="Times New Roman"/>
          <w:sz w:val="20"/>
        </w:rPr>
      </w:pPr>
      <w:r>
        <w:rPr>
          <w:rFonts w:ascii="Times New Roman" w:hAnsi="Times New Roman"/>
          <w:sz w:val="20"/>
        </w:rPr>
        <w:t xml:space="preserve">The Amended 2023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we timely satisfy our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both"/>
        <w:rPr>
          <w:rFonts w:ascii="Times New Roman" w:hAnsi="Times New Roman"/>
          <w:sz w:val="20"/>
        </w:rPr>
      </w:pPr>
      <w:r>
        <w:rPr>
          <w:rFonts w:ascii="Times New Roman" w:hAnsi="Times New Roman"/>
          <w:sz w:val="20"/>
        </w:rPr>
        <w:t xml:space="preserve">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Service,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we will generally be entitled to a tax deduction equal to the taxable ordinary income realized by the recipient of the restricted stock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bidi w:val="0"/>
        <w:spacing w:before="120" w:after="0"/>
        <w:jc w:val="both"/>
        <w:rPr>
          <w:rFonts w:ascii="Times New Roman" w:hAnsi="Times New Roman"/>
          <w:sz w:val="20"/>
        </w:rPr>
      </w:pPr>
      <w:r>
        <w:rPr>
          <w:rFonts w:ascii="Times New Roman" w:hAnsi="Times New Roman"/>
          <w:sz w:val="20"/>
        </w:rPr>
        <w:t xml:space="preserve">Generally, the recipient of a restricted stock unit award will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we will generally be entitled to a tax deduction equal to the taxable ordinary income realized by the recipient of the restricted stock unit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both"/>
        <w:rPr>
          <w:rFonts w:ascii="Times New Roman" w:hAnsi="Times New Roman"/>
          <w:sz w:val="20"/>
        </w:rPr>
      </w:pPr>
      <w:r>
        <w:rPr>
          <w:rFonts w:ascii="Times New Roman" w:hAnsi="Times New Roman"/>
          <w:sz w:val="20"/>
        </w:rPr>
        <w:t xml:space="preserve">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we will generally be entitled to a tax deduction equal to the taxable ordinary income realized by the recipient of the stock appreciation right.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Covered Employees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obtain a deduction for amounts paid under the Amended 2023 Plan could be limited by Section 162(m) of the Code. Section 162(m) of the Code limits our ability to deduct compensation, for U.S. federal income tax purposes, paid during any year to a “covered employee” (within the meaning of Section 162(m) of the Code) in excess of $1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Payments </w:t>
      </w:r>
    </w:p>
    <w:p>
      <w:pPr>
        <w:pStyle w:val="TextBody"/>
        <w:bidi w:val="0"/>
        <w:spacing w:before="120" w:after="0"/>
        <w:jc w:val="both"/>
        <w:rPr>
          <w:rFonts w:ascii="Times New Roman" w:hAnsi="Times New Roman"/>
          <w:sz w:val="20"/>
        </w:rPr>
      </w:pPr>
      <w:r>
        <w:rPr>
          <w:rFonts w:ascii="Times New Roman" w:hAnsi="Times New Roman"/>
          <w:sz w:val="20"/>
        </w:rPr>
        <w:t xml:space="preserve">Our ability (or the ability of one of our subsidiaries) to obtain a deduction for future payments under the Amended 2023 Plan could also be limited by the golden parachute rules of Section 280G of the Code, which prevent the deductibility of certain “excess parachute payments” made in connection with a change in control of an employer-corporation.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under Amended 2023 Plan </w:t>
      </w:r>
    </w:p>
    <w:p>
      <w:pPr>
        <w:pStyle w:val="TextBody"/>
        <w:bidi w:val="0"/>
        <w:spacing w:before="120" w:after="0"/>
        <w:jc w:val="both"/>
        <w:rPr>
          <w:rFonts w:ascii="Times New Roman" w:hAnsi="Times New Roman"/>
          <w:sz w:val="20"/>
        </w:rPr>
      </w:pPr>
      <w:r>
        <w:rPr>
          <w:rFonts w:ascii="Times New Roman" w:hAnsi="Times New Roman"/>
          <w:sz w:val="20"/>
        </w:rPr>
        <w:t xml:space="preserve">We cannot currently determine the benefits or number of shares subject to awards that may be granted in the future to executive officers, directors, and employees under the Amended 2023 Plan. We do not presently have any arrangements, written or otherwise, to issue any of the newly available authorized shares under the Amended 2023 Plan, except as set forth below with respect to non-employee directors. As of July 9, 2026, we had 13 employees, approximately 24 consultants and six non-employee directors who would be eligible to receive grants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Amended 2023 Plan. Awards granted under the Amended 2023 Plan to our non-employee directors are not subject to set benefits or amounts under the terms of the Amended 2023 Plan itself. For additional information regarding our current compensation program for non-employee directors, please see below in the section entitled “Director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2023 Plan Benefits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for each of the individuals and various groups indicated, the total number of shares of our common stock subject to awards that have been granted under the 2023 Plan since its original effectiveness and through July 9, 2026 (even if not currently outstanding).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6995"/>
        <w:gridCol w:w="60"/>
        <w:gridCol w:w="105"/>
        <w:gridCol w:w="1730"/>
        <w:gridCol w:w="75"/>
      </w:tblGrid>
      <w:tr>
        <w:trPr/>
        <w:tc>
          <w:tcPr>
            <w:tcW w:w="6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851,487</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Director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531,817</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Business Officer and Director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575,182</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3,169,890</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409,789</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Each nominee for election as a director:</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17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Allan Shaw</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94,844</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108,593</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associate of any executive officers, current directors or director nominees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Each other person who received or is to receive 5% of awards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including all current officers who are not executive officers, as a group</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1,121,278</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July 9, 2026, the closing sales price of a share of our common stock on the Nasdaq Capital Market was $0.9499.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as of December 31, 2025, with respect to the shares of our common stock that may be issued under our existing equity compensation plans. </w:t>
      </w:r>
    </w:p>
    <w:p>
      <w:pPr>
        <w:pStyle w:val="TextBody"/>
        <w:bidi w:val="0"/>
        <w:spacing w:before="0" w:after="0"/>
        <w:jc w:val="left"/>
        <w:rPr/>
      </w:pPr>
      <w:r>
        <w:rPr/>
        <w:t> </w:t>
      </w:r>
    </w:p>
    <w:tbl>
      <w:tblPr>
        <w:tblW w:w="10160" w:type="dxa"/>
        <w:jc w:val="left"/>
        <w:tblInd w:w="0" w:type="dxa"/>
        <w:tblLayout w:type="fixed"/>
        <w:tblCellMar>
          <w:top w:w="0" w:type="dxa"/>
          <w:left w:w="0" w:type="dxa"/>
          <w:bottom w:w="0" w:type="dxa"/>
          <w:right w:w="0" w:type="dxa"/>
        </w:tblCellMar>
      </w:tblPr>
      <w:tblGrid>
        <w:gridCol w:w="4865"/>
        <w:gridCol w:w="120"/>
        <w:gridCol w:w="89"/>
        <w:gridCol w:w="1461"/>
        <w:gridCol w:w="60"/>
        <w:gridCol w:w="120"/>
        <w:gridCol w:w="370"/>
        <w:gridCol w:w="1165"/>
        <w:gridCol w:w="60"/>
        <w:gridCol w:w="120"/>
        <w:gridCol w:w="115"/>
        <w:gridCol w:w="1540"/>
        <w:gridCol w:w="75"/>
      </w:tblGrid>
      <w:tr>
        <w:trPr/>
        <w:tc>
          <w:tcPr>
            <w:tcW w:w="4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 to be</w:t>
              <w:br/>
              <w:t>Issued upon</w:t>
              <w:br/>
              <w:t>Exercise of</w:t>
              <w:br/>
              <w:t>Outstanding</w:t>
              <w:br/>
              <w:t>Options,</w:t>
              <w:br/>
              <w:t>Warrants</w:t>
              <w:br/>
              <w:t>and 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Outstanding</w:t>
              <w:br/>
              <w:t>Options and</w:t>
              <w:br/>
              <w:t>Warrants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w:t>
              <w:br/>
              <w:t>Available for</w:t>
              <w:br/>
              <w:t>Future Issuance</w:t>
              <w:br/>
              <w:t>Under Equity</w:t>
              <w:br/>
              <w:t>Compensation</w:t>
              <w:br/>
              <w:t>Plans(2)</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Stockholders(1)</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4,883,408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292,386</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Stockholders</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4,883,408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292,386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our 2006 Stock Plan, 2015 Stock Incentive Plan, 2020 Equity Incentive Plan, 2023 Plan and 2023 Employee Stock Purchase Plan (“2023 ESPP”).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 includes 35,022 shares available for issuance under the 2023 Plan and 257,364 shares available for issuance under the 2023 ESPP. The 2023 Plan and 2023 ESPP each contain an “evergreen” provision. Pursuant to such provision contained in the 2023 Plan, on January 1st of each year we automatically add 5% of our shares of common stock outstanding on the preceding December 31st, and pursuant to such provision contained in the 2023 ESPP, we automatically add the lesser of 1% of our shares of common stock outstanding on the preceding December 31st or 195,000 shares of common stock, respectively, to the shares reserved for issuance, provided that our Board of Directors may authorize a lesser number in each case. As of the date of this Proxy Statement, we have not yet utilized our 2023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28288_10"/>
      <w:bookmarkEnd w:id="12"/>
      <w:r>
        <w:rPr>
          <w:rFonts w:ascii="Times New Roman" w:hAnsi="Times New Roman"/>
          <w:b/>
          <w:sz w:val="20"/>
        </w:rPr>
        <w:t xml:space="preserve">PROPOSAL NO. 4 ADVISORY VOTE ON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tables, and narrative discussion. In considering their vote, we urge stockholders to review the information on our compensation policies and decisions regarding our named executive officers under the section titled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If stockholders approve the “One Year” option as the frequency of future say-on-pay votes under Proposal No. 5, we expect that we will conduct our next say-on-pay vote at the 2027 annual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text of the resolution in respect of Proposal No. 4 is as follows: </w:t>
      </w:r>
    </w:p>
    <w:p>
      <w:pPr>
        <w:pStyle w:val="TextBody"/>
        <w:bidi w:val="0"/>
        <w:spacing w:before="120" w:after="0"/>
        <w:jc w:val="both"/>
        <w:rPr/>
      </w:pPr>
      <w:r>
        <w:rPr/>
        <w:t>“</w:t>
      </w:r>
      <w:r>
        <w:rPr>
          <w:rFonts w:ascii="Times New Roman" w:hAnsi="Times New Roman"/>
          <w:i/>
          <w:sz w:val="20"/>
        </w:rPr>
        <w:t xml:space="preserve">RESOLVED, that the compensation paid to the Company’s </w:t>
      </w:r>
      <w:r>
        <w:rPr>
          <w:rFonts w:ascii="Times New Roman" w:hAnsi="Times New Roman"/>
          <w:sz w:val="20"/>
        </w:rPr>
        <w:t xml:space="preserve">named executive officers </w:t>
      </w:r>
      <w:r>
        <w:rPr>
          <w:rFonts w:ascii="Times New Roman" w:hAnsi="Times New Roman"/>
          <w:i/>
          <w:sz w:val="20"/>
        </w:rPr>
        <w:t>as disclosed pursuant to Item 402 of Regulation S-K, including the compensation tables and narrative discussion, is hereby approved.”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28288_11"/>
      <w:bookmarkEnd w:id="13"/>
      <w:r>
        <w:rPr>
          <w:rFonts w:ascii="Times New Roman" w:hAnsi="Times New Roman"/>
          <w:b/>
          <w:sz w:val="20"/>
        </w:rPr>
        <w:t xml:space="preserve">PROPOSAL NO. 5 ADVISORY VOTE ON THE FREQUENCY OF SOLICITATION OF ADVISORY STOCKHOLDER APPROVAL OF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of Directors. Although the vote is non-binding, the Compensation Committee and the Board will carefully consider the outcome of the vote when determining the frequency of future stockholder advisory votes to approve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After careful consideration, the Board has determined that a say-on-pay vote that occurs every year is the most appropriate alternative for our Company at this time. </w:t>
      </w:r>
    </w:p>
    <w:p>
      <w:pPr>
        <w:pStyle w:val="TextBody"/>
        <w:bidi w:val="0"/>
        <w:spacing w:before="240" w:after="0"/>
        <w:jc w:val="both"/>
        <w:rPr>
          <w:rFonts w:ascii="Times New Roman" w:hAnsi="Times New Roman"/>
          <w:sz w:val="20"/>
        </w:rPr>
      </w:pPr>
      <w:r>
        <w:rPr>
          <w:rFonts w:ascii="Times New Roman" w:hAnsi="Times New Roman"/>
          <w:sz w:val="20"/>
        </w:rPr>
        <w:t xml:space="preserve">Although the Board recommends a say-on-pay vote be held every year, you may vote one of four choices for this Proposal No. 5 on the proxy card: “One Year”, “Two Years”, “Three Years”, or “Abstain.” </w:t>
      </w:r>
    </w:p>
    <w:p>
      <w:pPr>
        <w:pStyle w:val="TextBody"/>
        <w:bidi w:val="0"/>
        <w:spacing w:before="240" w:after="0"/>
        <w:jc w:val="both"/>
        <w:rPr>
          <w:rFonts w:ascii="Times New Roman" w:hAnsi="Times New Roman"/>
          <w:sz w:val="20"/>
        </w:rPr>
      </w:pPr>
      <w:r>
        <w:rPr>
          <w:rFonts w:ascii="Times New Roman" w:hAnsi="Times New Roman"/>
          <w:sz w:val="20"/>
        </w:rPr>
        <w:t xml:space="preserve">The text of the resolution in respect of Proposal No. 5 is as follows: </w:t>
      </w:r>
    </w:p>
    <w:p>
      <w:pPr>
        <w:pStyle w:val="TextBody"/>
        <w:bidi w:val="0"/>
        <w:spacing w:before="240" w:after="0"/>
        <w:jc w:val="both"/>
        <w:rPr/>
      </w:pPr>
      <w:r>
        <w:rPr/>
        <w:t>“</w:t>
      </w:r>
      <w:r>
        <w:rPr>
          <w:rFonts w:ascii="Times New Roman" w:hAnsi="Times New Roman"/>
          <w:i/>
          <w:sz w:val="20"/>
        </w:rPr>
        <w:t xml:space="preserve">RESOLVED, that the advisory vote on the compensation of the Company’s named executive officers should occur every: </w:t>
      </w:r>
    </w:p>
    <w:p>
      <w:pPr>
        <w:pStyle w:val="TextBody"/>
        <w:bidi w:val="0"/>
        <w:spacing w:before="240" w:after="0"/>
        <w:jc w:val="both"/>
        <w:rPr>
          <w:rFonts w:ascii="Times New Roman" w:hAnsi="Times New Roman"/>
          <w:i/>
          <w:sz w:val="20"/>
        </w:rPr>
      </w:pPr>
      <w:r>
        <w:rPr>
          <w:rFonts w:ascii="Times New Roman" w:hAnsi="Times New Roman"/>
          <w:i/>
          <w:sz w:val="20"/>
        </w:rPr>
        <w:t xml:space="preserve">Option 1: One YEAR; </w:t>
      </w:r>
    </w:p>
    <w:p>
      <w:pPr>
        <w:pStyle w:val="TextBody"/>
        <w:bidi w:val="0"/>
        <w:spacing w:before="240" w:after="0"/>
        <w:jc w:val="both"/>
        <w:rPr>
          <w:rFonts w:ascii="Times New Roman" w:hAnsi="Times New Roman"/>
          <w:i/>
          <w:sz w:val="20"/>
        </w:rPr>
      </w:pPr>
      <w:r>
        <w:rPr>
          <w:rFonts w:ascii="Times New Roman" w:hAnsi="Times New Roman"/>
          <w:i/>
          <w:sz w:val="20"/>
        </w:rPr>
        <w:t xml:space="preserve">Option 2: Two YEARS; or </w:t>
      </w:r>
    </w:p>
    <w:p>
      <w:pPr>
        <w:pStyle w:val="TextBody"/>
        <w:bidi w:val="0"/>
        <w:spacing w:before="240" w:after="0"/>
        <w:jc w:val="both"/>
        <w:rPr>
          <w:rFonts w:ascii="Times New Roman" w:hAnsi="Times New Roman"/>
          <w:i/>
          <w:sz w:val="20"/>
        </w:rPr>
      </w:pPr>
      <w:r>
        <w:rPr>
          <w:rFonts w:ascii="Times New Roman" w:hAnsi="Times New Roman"/>
          <w:i/>
          <w:sz w:val="20"/>
        </w:rPr>
        <w:t xml:space="preserve">Option 3: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28288_12"/>
      <w:bookmarkEnd w:id="14"/>
      <w:r>
        <w:rPr>
          <w:rFonts w:ascii="Times New Roman" w:hAnsi="Times New Roman"/>
          <w:b/>
          <w:sz w:val="20"/>
        </w:rPr>
        <w:t xml:space="preserve">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current executive officers, their ages and the positions held by each such person with CalciMedica: </w:t>
      </w:r>
    </w:p>
    <w:p>
      <w:pPr>
        <w:pStyle w:val="TextBody"/>
        <w:bidi w:val="0"/>
        <w:spacing w:before="0" w:after="0"/>
        <w:jc w:val="left"/>
        <w:rPr/>
      </w:pPr>
      <w:r>
        <w:rPr/>
        <w:t> </w:t>
      </w:r>
    </w:p>
    <w:tbl>
      <w:tblPr>
        <w:tblW w:w="9105" w:type="dxa"/>
        <w:jc w:val="left"/>
        <w:tblInd w:w="0" w:type="dxa"/>
        <w:tblLayout w:type="fixed"/>
        <w:tblCellMar>
          <w:top w:w="0" w:type="dxa"/>
          <w:left w:w="0" w:type="dxa"/>
          <w:bottom w:w="0" w:type="dxa"/>
          <w:right w:w="0" w:type="dxa"/>
        </w:tblCellMar>
      </w:tblPr>
      <w:tblGrid>
        <w:gridCol w:w="2480"/>
        <w:gridCol w:w="120"/>
        <w:gridCol w:w="79"/>
        <w:gridCol w:w="346"/>
        <w:gridCol w:w="60"/>
        <w:gridCol w:w="120"/>
        <w:gridCol w:w="5900"/>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0" w:type="dxa"/>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9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Executive Officer and Class II Director</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Dunn, MBA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President and Chief Operating Officer</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Bardin,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9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Medical Officer</w:t>
            </w:r>
          </w:p>
        </w:tc>
      </w:tr>
      <w:tr>
        <w:trPr/>
        <w:tc>
          <w:tcPr>
            <w:tcW w:w="2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9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Business Officer, Class II Director and Vice Chairman of the Board</w:t>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A. Stauderman,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Scientific Officer</w:t>
            </w:r>
          </w:p>
        </w:tc>
      </w:tr>
    </w:tbl>
    <w:p>
      <w:pPr>
        <w:pStyle w:val="TextBody"/>
        <w:bidi w:val="0"/>
        <w:spacing w:before="240" w:after="0"/>
        <w:jc w:val="both"/>
        <w:rPr>
          <w:rFonts w:ascii="Times New Roman" w:hAnsi="Times New Roman"/>
          <w:sz w:val="20"/>
        </w:rPr>
      </w:pPr>
      <w:r>
        <w:rPr>
          <w:rFonts w:ascii="Times New Roman" w:hAnsi="Times New Roman"/>
          <w:i/>
          <w:sz w:val="20"/>
        </w:rPr>
        <w:t>Dr.</w:t>
      </w:r>
      <w:r>
        <w:rPr>
          <w:rFonts w:ascii="Times New Roman" w:hAnsi="Times New Roman"/>
          <w:sz w:val="20"/>
        </w:rPr>
        <w:t> </w:t>
      </w:r>
      <w:r>
        <w:rPr>
          <w:rFonts w:ascii="Times New Roman" w:hAnsi="Times New Roman"/>
          <w:i/>
          <w:sz w:val="20"/>
        </w:rPr>
        <w:t>Leheny’s</w:t>
      </w:r>
      <w:r>
        <w:rPr>
          <w:rFonts w:ascii="Times New Roman" w:hAnsi="Times New Roman"/>
          <w:sz w:val="20"/>
        </w:rPr>
        <w:t xml:space="preserve"> biographical information is set forth above under “Proposal No. 1—Election of Class III Directors—Continuing Directors.” </w:t>
      </w:r>
    </w:p>
    <w:p>
      <w:pPr>
        <w:pStyle w:val="TextBody"/>
        <w:bidi w:val="0"/>
        <w:spacing w:before="240" w:after="0"/>
        <w:jc w:val="both"/>
        <w:rPr>
          <w:rFonts w:ascii="Times New Roman" w:hAnsi="Times New Roman"/>
          <w:sz w:val="20"/>
        </w:rPr>
      </w:pPr>
      <w:r>
        <w:rPr>
          <w:rFonts w:ascii="Times New Roman" w:hAnsi="Times New Roman"/>
          <w:i/>
          <w:sz w:val="20"/>
        </w:rPr>
        <w:t>Stephen Bardin, MBA</w:t>
      </w:r>
      <w:r>
        <w:rPr>
          <w:rFonts w:ascii="Times New Roman" w:hAnsi="Times New Roman"/>
          <w:sz w:val="20"/>
        </w:rPr>
        <w:t xml:space="preserve">, has served as our Chief Financial Officer since November 2024 and served as a consultant to the Company from April 2024 to November 2024. Prior to that he served as the Chief Financial Officer of ATAI Life Sciences N.V. (Nasdaq: ATAI) (“Atai”), a clinical-stage biopharmaceutical company, from August 2022 to February 2024, and provided certain transition services to Atai through March 2024. He also served as Atai’s Deputy Chief Financial Officer and Chief Financial Officer Designate from June 27, 2022 to August 15, 2022. Prior to joining Atai, Mr. Bardin served in various capacities at BridgeBio Pharma, Inc. (“BridgeBio”), a commercial-stage biopharmaceutical company, most recently as its Senior Vice President, Finance and Operations, from January 2022 to June 2022, and previously as Vice President, Finance and Operations, from July 2020 to December 2021, and as Senior Director, Finance and Operations, from October 2019 to June 2020. Prior to that, Mr. Bardin served in roles of increasing responsibility at Myovant Sciences Ltd., a biopharmaceutical company, most recently as Director, Corporate Development from January 2019 to October 2019, and as Associate Director, Corporate Development from July 2017 to December 2018. Prior to that, Mr. Bardin served as a Consultant at The Boston Consulting Group from August 2011 to May 2014 and September 2016 to July 2017. Mr. Bardin received his Master of Business Administration from the Stanford Graduate School of Business and his Bachelor of Science in Engineering in biomedical engineering from Duke University. </w:t>
      </w:r>
    </w:p>
    <w:p>
      <w:pPr>
        <w:pStyle w:val="TextBody"/>
        <w:bidi w:val="0"/>
        <w:spacing w:before="240" w:after="0"/>
        <w:jc w:val="both"/>
        <w:rPr>
          <w:rFonts w:ascii="Times New Roman" w:hAnsi="Times New Roman"/>
          <w:sz w:val="20"/>
        </w:rPr>
      </w:pPr>
      <w:r>
        <w:rPr>
          <w:rFonts w:ascii="Times New Roman" w:hAnsi="Times New Roman"/>
          <w:i/>
          <w:sz w:val="20"/>
        </w:rPr>
        <w:t xml:space="preserve">Michael J. Dunn, MBA </w:t>
      </w:r>
      <w:r>
        <w:rPr>
          <w:rFonts w:ascii="Times New Roman" w:hAnsi="Times New Roman"/>
          <w:sz w:val="20"/>
        </w:rPr>
        <w:t xml:space="preserve">has served as our President and Chief Operating Officer since the closing of the Merger in March 2023. Prior to that he served as the President and Chief Operating Officer of Private CalciMedica from 2014 to March 2023, and as its Senior Vice President, Corporate Development from 2013 to 2014. Mr. Dunn also served as a member of Private CalciMedica’s board of directors from 2014 to May 2020. Mr. Dunn serves on the board of directors of Arisan Therapeutics and previously served on the board of directors of Aegea Biotechnologies from 2012 to 2017. From 2010 to 2013, Mr. Dunn was senior vice president, corporate development at Biocept, Inc. Prior to that, he served as vice president and chief business officer of Monogram Biosciences, Inc., which was acquired by Laboratory Corporation of America Holdings (d/b/a LabCorp) in 2009. From April 2003 to December 2004, Mr. Dunn was chief business officer for ACLARA BioSciences, Inc., through its merger with ViroLogic, Inc.; the combined entity subsequently changed its name to Monogram Biosciences, Inc. From March 2002 to April 2003, Mr. Dunn served as executive vice president of business development for ActivX Biosciences, Inc., a biotechnology company, and helped engineer a partnership with Kyorin Pharmaceuticals, Co. Ltd. of Japan, which acquired ActivX Biosciences, Inc. the following year. From July 1998 to March 2002, Mr. Dunn was vice president of business development for Aurora Biosciences Corporation, a biotechnology tools company, through its acquisition by Vertex Pharmaceuticals. From 1995 to 1998, Mr. Dunn was vice president of business development for SIBIA Neurosciences, Inc., a publicly traded company, and, from 1984 to 1994, was director of business development at the predecessor company, SIBIA, Inc. Mr. Dunn holds an M.B.A. from the University of San Diego and a bachelor’s degree in Biology from the University of Chicago.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 xml:space="preserve">Sudarshan Hebbar, M.D. </w:t>
      </w:r>
      <w:r>
        <w:rPr>
          <w:rFonts w:ascii="Times New Roman" w:hAnsi="Times New Roman"/>
          <w:sz w:val="20"/>
        </w:rPr>
        <w:t xml:space="preserve">has served as our Chief Medical Officer since the closing of the Merger in March 2023. Prior to that, he served in various roles at Private CalciMedica including as its Chief Medical Officer from April 2017 to March 2023, its Senior Vice President of Clinical Development, from November 2015 to April 2017, and as a consultant from June 2014 to November 2015. From January 2015 to October 2015, Dr. Hebbar was a consultant for Mallinckrodt Pharmaceuticals, where he served as the clinical development lead for a global multicenter Phase 4 trial. From July 2013 to June 2014, he was the vice president of nephrology at Thrasos Innovation. From July 2013 to October 2013, Dr. Hebbar served as medical vice president and a member of the U.S. board of directors at Oncimmune Holdings plc, an immunodiagnostics company. Before joining Oncimmune, Dr. Hebbar served as a medical director at Reata Pharmaceuticals, Inc., a publicly traded biopharmaceutical company. Dr. Hebbar began his industry career at Abbott Laboratories, where he served as a senior medical director. Prior to joining Abbott Laboratories, Dr. Hebbar was a medical director at Dialysis Clinics Incorporated and a partner at Kidney Associates of Kansas City. Dr. Hebbar holds a B.A. in Natural Sciences from The Johns Hopkins University and an M.D. from Tulane University School of Medicine. He completed a residency in Internal Medicine and a fellowship in Critical Care Medicine, both at Hennepin County Medical Center, a fellowship in Nephrology at the University of Chicago and a fellowship in Clinical Medical Ethics at The Maclean Center for Clinical Medical Ethics at the University of Chicago. </w:t>
      </w:r>
    </w:p>
    <w:p>
      <w:pPr>
        <w:pStyle w:val="TextBody"/>
        <w:bidi w:val="0"/>
        <w:spacing w:before="240" w:after="0"/>
        <w:jc w:val="both"/>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Roberts’s </w:t>
      </w:r>
      <w:r>
        <w:rPr>
          <w:rFonts w:ascii="Times New Roman" w:hAnsi="Times New Roman"/>
          <w:sz w:val="20"/>
        </w:rPr>
        <w:t xml:space="preserve">biographical information is set forth above under “Proposal No. 1—Election of Class III Directors—Continuing Directors.” </w:t>
      </w:r>
    </w:p>
    <w:p>
      <w:pPr>
        <w:pStyle w:val="TextBody"/>
        <w:bidi w:val="0"/>
        <w:spacing w:before="240" w:after="0"/>
        <w:jc w:val="both"/>
        <w:rPr>
          <w:rFonts w:ascii="Times New Roman" w:hAnsi="Times New Roman"/>
          <w:sz w:val="20"/>
        </w:rPr>
      </w:pPr>
      <w:r>
        <w:rPr>
          <w:rFonts w:ascii="Times New Roman" w:hAnsi="Times New Roman"/>
          <w:i/>
          <w:sz w:val="20"/>
        </w:rPr>
        <w:t xml:space="preserve">Kenneth A. Stauderman, Ph.D. </w:t>
      </w:r>
      <w:r>
        <w:rPr>
          <w:rFonts w:ascii="Times New Roman" w:hAnsi="Times New Roman"/>
          <w:sz w:val="20"/>
        </w:rPr>
        <w:t xml:space="preserve">has served as our Chief Scientific Officer since the closing of the Merger in March 2023. Dr. Stauderman is one of Private CalciMedica’s co-founders and served as its Chief Scientific Officer from April 2017 to March 2023, and previously served as its Senior Vice President of Research and Development, from August 2014 to April 2017, and as its Vice President of Research, from April 2007 to August 2014. From 2000 to 2007, Dr. Stauderman was executive director of biology and lead discovery at TorreyPines Therapeutics (f/k/a Neurogenetics, Inc.). Prior to TorreyPines Therapeutics, Dr. Stauderman was director of molecular and cell biology at SIBIA Neurosciences, Inc. (which later became Merck Research Laboratories, San Diego) from 1994 to 2000, and senior scientist at Marion Merrell Dow Pharmaceuticals from 1986 to 1994. Dr. Stauderman holds a B.A. in Psychology from the University of Virginia and a Ph.D. in Pharmacology from the University of Texas Health Science Center at San Antonio.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28288_13"/>
      <w:bookmarkEnd w:id="15"/>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tables and accompanying narrative disclosure set forth information about the compensation provided to our named executive officers during the years ended December 31, 2025 and 2024. These executive officers, who include the individual who served as our principal executive officer (“PEO”) in 2025 and the two most highly compensated executive officers (other than our principal executive officer) who were serving as executive officers at the end of the fiscal year ended December 31, 2025, were: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Rachel Leheny, Ph.D., Chief Executive Officer;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Sudarshan Hebbar, M.D., Chief Medical Officer;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Eric W. Roberts, Vice Chairman and Chief Business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refer to these individuals as our “named executive officers” or “NEOs.”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summary information regarding the total compensation for services rendered in all capacities that was earned by our named executive officers during the years ended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7"/>
        <w:gridCol w:w="60"/>
        <w:gridCol w:w="60"/>
        <w:gridCol w:w="500"/>
        <w:gridCol w:w="60"/>
        <w:gridCol w:w="60"/>
        <w:gridCol w:w="70"/>
        <w:gridCol w:w="940"/>
        <w:gridCol w:w="60"/>
        <w:gridCol w:w="60"/>
        <w:gridCol w:w="69"/>
        <w:gridCol w:w="926"/>
        <w:gridCol w:w="60"/>
        <w:gridCol w:w="60"/>
        <w:gridCol w:w="72"/>
        <w:gridCol w:w="965"/>
        <w:gridCol w:w="60"/>
        <w:gridCol w:w="60"/>
        <w:gridCol w:w="103"/>
        <w:gridCol w:w="1387"/>
        <w:gridCol w:w="60"/>
        <w:gridCol w:w="60"/>
        <w:gridCol w:w="120"/>
        <w:gridCol w:w="1370"/>
        <w:gridCol w:w="249"/>
        <w:gridCol w:w="60"/>
        <w:gridCol w:w="60"/>
        <w:gridCol w:w="980"/>
        <w:gridCol w:w="77"/>
      </w:tblGrid>
      <w:tr>
        <w:trPr/>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53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427,350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464,485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3,575</w:t>
            </w:r>
          </w:p>
        </w:tc>
        <w:tc>
          <w:tcPr>
            <w:tcW w:w="24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895,410</w:t>
            </w:r>
          </w:p>
        </w:tc>
        <w:tc>
          <w:tcPr>
            <w:tcW w:w="77" w:type="dxa"/>
            <w:tcBorders/>
            <w:shd w:fill="CCEEFF" w:val="clear"/>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411,400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174,848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962,550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103,500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5,544</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1,657,842</w:t>
            </w:r>
          </w:p>
        </w:tc>
        <w:tc>
          <w:tcPr>
            <w:tcW w:w="77" w:type="dxa"/>
            <w:tcBorders/>
            <w:shd w:fill="CCEEFF" w:val="clear"/>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427,350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332,486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3,478</w:t>
            </w:r>
          </w:p>
        </w:tc>
        <w:tc>
          <w:tcPr>
            <w:tcW w:w="249"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763,315</w:t>
            </w:r>
          </w:p>
        </w:tc>
        <w:tc>
          <w:tcPr>
            <w:tcW w:w="77"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411,400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150,342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690,525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82,800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13,504</w:t>
            </w:r>
          </w:p>
        </w:tc>
        <w:tc>
          <w:tcPr>
            <w:tcW w:w="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1,348,571</w:t>
            </w:r>
          </w:p>
        </w:tc>
        <w:tc>
          <w:tcPr>
            <w:tcW w:w="77" w:type="dxa"/>
            <w:tcBorders/>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400,525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299,721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3,311</w:t>
            </w:r>
          </w:p>
        </w:tc>
        <w:tc>
          <w:tcPr>
            <w:tcW w:w="249"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703,558</w:t>
            </w:r>
          </w:p>
        </w:tc>
        <w:tc>
          <w:tcPr>
            <w:tcW w:w="77" w:type="dxa"/>
            <w:tcBorders/>
            <w:shd w:fill="CCEEFF" w:val="clear"/>
            <w:vAlign w:val="center"/>
          </w:tcPr>
          <w:p>
            <w:pPr>
              <w:pStyle w:val="TableContents"/>
              <w:bidi w:val="0"/>
              <w:spacing w:before="0" w:after="283"/>
              <w:jc w:val="left"/>
              <w:rPr/>
            </w:pPr>
            <w:r>
              <w:rPr/>
              <w:t> </w:t>
            </w:r>
          </w:p>
        </w:tc>
      </w:tr>
      <w:tr>
        <w:trPr/>
        <w:tc>
          <w:tcPr>
            <w:tcW w:w="1537"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Vice Chairman and Chief Business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384,550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160,088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648,675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4,950</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1,295,263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SEC rules, this column reflects the aggregate grant date fair value of the stock option awards granted in the applicable year. These amounts have been computed in accordance with FASB ASC Topic 718. Assumptions used in the calculation of these amounts are described in Note 7 to our audited financial statements in our Annual Report on Form 10-K for the year ended December 31, 2025. These amounts do not reflect the actual economic value that will be realized by our named executive officers upon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amounts paid on behalf of Dr. Leheny for basic life insurance and accidental death and dismemberment insurance premiums.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(3)</w:t>
            </w:r>
          </w:p>
        </w:tc>
        <w:tc>
          <w:tcPr>
            <w:tcW w:w="990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amounts paid on behalf of Dr. Hebbar for basic life insurance and accidental death and dismemberment insurance premiums.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amounts paid on behalf of Mr. Roberts for basic life insurance and accidental death and dismemberment insurance premiums.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 Compensation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grant equity awards in the form of stock options to our named executive officers, which are generally subject to vesting based on each named executive officer’s continued service with us. Each of our named executive officers currently holds outstanding options to purchase shares of our common stock that were granted under our equity incentive plans, as set forth in the table below titled “—2025 Outstanding Equity Awards at Fiscal Year-End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April 2025, upon the recommendation of our Compensation Committee, our Board approved option grants to our named executive officers, which were determined based on peer data from our compensation consultant. </w:t>
      </w:r>
    </w:p>
    <w:p>
      <w:pPr>
        <w:pStyle w:val="TextBody"/>
        <w:bidi w:val="0"/>
        <w:spacing w:before="240" w:after="0"/>
        <w:jc w:val="both"/>
        <w:rPr>
          <w:rFonts w:ascii="Times New Roman" w:hAnsi="Times New Roman"/>
          <w:sz w:val="20"/>
        </w:rPr>
      </w:pPr>
      <w:r>
        <w:rPr>
          <w:rFonts w:ascii="Times New Roman" w:hAnsi="Times New Roman"/>
          <w:sz w:val="20"/>
        </w:rPr>
        <w:t xml:space="preserve">All stock options are granted with an exercise price per share that is no less than the fair market value of our common stock on the date of grant of such award. Our stock option awards generally vest over a four-year period and may be subject to acceleration of vesting and exercisability under certain termination and change in control events, as described in more detail under the section titled “—Potential Payments Upon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2025 Outstanding Equity Awards at Fiscal Year-End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for each of our named executive officers, information regarding outstanding stock options and restricted stock unit awards held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3"/>
        <w:gridCol w:w="120"/>
        <w:gridCol w:w="137"/>
        <w:gridCol w:w="1154"/>
        <w:gridCol w:w="364"/>
        <w:gridCol w:w="60"/>
        <w:gridCol w:w="178"/>
        <w:gridCol w:w="1492"/>
        <w:gridCol w:w="60"/>
        <w:gridCol w:w="120"/>
        <w:gridCol w:w="102"/>
        <w:gridCol w:w="1163"/>
        <w:gridCol w:w="60"/>
        <w:gridCol w:w="120"/>
        <w:gridCol w:w="100"/>
        <w:gridCol w:w="1345"/>
        <w:gridCol w:w="60"/>
        <w:gridCol w:w="120"/>
        <w:gridCol w:w="84"/>
        <w:gridCol w:w="791"/>
        <w:gridCol w:w="60"/>
        <w:gridCol w:w="120"/>
        <w:gridCol w:w="60"/>
        <w:gridCol w:w="1064"/>
        <w:gridCol w:w="78"/>
      </w:tblGrid>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4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8" w:type="dxa"/>
            <w:tcBorders/>
            <w:vAlign w:val="center"/>
          </w:tcPr>
          <w:p>
            <w:pPr>
              <w:pStyle w:val="TableContents"/>
              <w:bidi w:val="0"/>
              <w:spacing w:before="0" w:after="283"/>
              <w:jc w:val="left"/>
              <w:rPr/>
            </w:pPr>
            <w:r>
              <w:rPr/>
              <w:t> </w:t>
            </w:r>
          </w:p>
        </w:tc>
      </w:tr>
      <w:tr>
        <w:trPr/>
        <w:tc>
          <w:tcPr>
            <w:tcW w:w="119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Date(1)</w:t>
            </w:r>
          </w:p>
        </w:tc>
        <w:tc>
          <w:tcPr>
            <w:tcW w:w="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4/25/2019</w:t>
            </w:r>
          </w:p>
        </w:tc>
        <w:tc>
          <w:tcPr>
            <w:tcW w:w="364"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4/30/2020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11,232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04/24/2029</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1/24/2020</w:t>
            </w:r>
          </w:p>
        </w:tc>
        <w:tc>
          <w:tcPr>
            <w:tcW w:w="364"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4/30/2020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76,173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1/23/2030</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6/30/2020</w:t>
            </w:r>
          </w:p>
        </w:tc>
        <w:tc>
          <w:tcPr>
            <w:tcW w:w="364"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4/30/2020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6/29/2030</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4/28/2021</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2/22/2021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4/27/2031</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4/28/2021</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4/28/2021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19,826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4/27/2031</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7/1/2021</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2/22/2021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6/30/2031</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5/16/2022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8/30/2032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8/31/2022</w:t>
            </w:r>
          </w:p>
        </w:tc>
        <w:tc>
          <w:tcPr>
            <w:tcW w:w="364"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8/30/2032</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8/30/2032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3/20/2023</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3/19/2033</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3/20/2023</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23,466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3/19/2033</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3/20/2023</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9,513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2,829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3/19/2033</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5/8/2023</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71,287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39,093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5/7/2033</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3/28/2024</w:t>
            </w:r>
          </w:p>
        </w:tc>
        <w:tc>
          <w:tcPr>
            <w:tcW w:w="36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50,312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64,688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3/8/2034</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8/27/2024</w:t>
            </w:r>
          </w:p>
        </w:tc>
        <w:tc>
          <w:tcPr>
            <w:tcW w:w="364"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3/28/2024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50,312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64,688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8/26/2034</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4/23/2025</w:t>
            </w:r>
          </w:p>
        </w:tc>
        <w:tc>
          <w:tcPr>
            <w:tcW w:w="364"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3/26/2025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43,849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4/23/2035</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4/23/2025</w:t>
            </w:r>
          </w:p>
        </w:tc>
        <w:tc>
          <w:tcPr>
            <w:tcW w:w="364"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3/26/2025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187,714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4/23/2035</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6/24/2025</w:t>
            </w:r>
          </w:p>
        </w:tc>
        <w:tc>
          <w:tcPr>
            <w:tcW w:w="36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6/24/2025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77,625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4/22/2035</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Sudarshan Hebbar, M.D.</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2/11/2016</w:t>
            </w:r>
          </w:p>
        </w:tc>
        <w:tc>
          <w:tcPr>
            <w:tcW w:w="364"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11/9/2015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11,761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2/11/2026</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8/2/2018</w:t>
            </w:r>
          </w:p>
        </w:tc>
        <w:tc>
          <w:tcPr>
            <w:tcW w:w="364"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3/21/2018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22,777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8/2/2028</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4/25/2019</w:t>
            </w:r>
          </w:p>
        </w:tc>
        <w:tc>
          <w:tcPr>
            <w:tcW w:w="364"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2/7/2019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4/25/2029</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1/24/2020</w:t>
            </w:r>
          </w:p>
        </w:tc>
        <w:tc>
          <w:tcPr>
            <w:tcW w:w="364"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1/24/2021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2,524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1/24/2030</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6/30/2020</w:t>
            </w:r>
          </w:p>
        </w:tc>
        <w:tc>
          <w:tcPr>
            <w:tcW w:w="364" w:type="dxa"/>
            <w:tcBorders/>
            <w:shd w:fill="CCEEFF" w:val="clear"/>
            <w:vAlign w:val="center"/>
          </w:tcPr>
          <w:p>
            <w:pPr>
              <w:pStyle w:val="TableContents"/>
              <w:bidi w:val="0"/>
              <w:spacing w:before="0" w:after="283"/>
              <w:jc w:val="left"/>
              <w:rPr/>
            </w:pPr>
            <w:r>
              <w:rPr/>
              <w:t>(12)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6/30/2021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11,778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7/1/2030</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6/30/2020</w:t>
            </w:r>
          </w:p>
        </w:tc>
        <w:tc>
          <w:tcPr>
            <w:tcW w:w="364"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6/30/2021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24,968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7/1/2030</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4/28/2021</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4/28/2021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4/29/2031</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4/28/2021</w:t>
            </w:r>
          </w:p>
        </w:tc>
        <w:tc>
          <w:tcPr>
            <w:tcW w:w="36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18,782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4/29/2031</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7/1/2021</w:t>
            </w:r>
          </w:p>
        </w:tc>
        <w:tc>
          <w:tcPr>
            <w:tcW w:w="3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7/2/2031</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8/2/2022</w:t>
            </w:r>
          </w:p>
        </w:tc>
        <w:tc>
          <w:tcPr>
            <w:tcW w:w="364"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8/31/2022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2,880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8/2/2032</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8/31/2032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8/31/2022</w:t>
            </w:r>
          </w:p>
        </w:tc>
        <w:tc>
          <w:tcPr>
            <w:tcW w:w="36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8/31/2022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8/31/2032</w:t>
            </w:r>
          </w:p>
        </w:tc>
        <w:tc>
          <w:tcPr>
            <w:tcW w:w="78" w:type="dxa"/>
            <w:tcBorders/>
            <w:vAlign w:val="center"/>
          </w:tcPr>
          <w:p>
            <w:pPr>
              <w:pStyle w:val="TableContents"/>
              <w:bidi w:val="0"/>
              <w:spacing w:before="0" w:after="283"/>
              <w:jc w:val="left"/>
              <w:rPr/>
            </w:pPr>
            <w:r>
              <w:rPr/>
              <w:t> </w:t>
            </w:r>
          </w:p>
        </w:tc>
      </w:tr>
      <w:tr>
        <w:trPr/>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8/31/2022</w:t>
            </w:r>
          </w:p>
        </w:tc>
        <w:tc>
          <w:tcPr>
            <w:tcW w:w="364"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8/31/2032</w:t>
            </w:r>
          </w:p>
        </w:tc>
        <w:tc>
          <w:tcPr>
            <w:tcW w:w="78" w:type="dxa"/>
            <w:tcBorders/>
            <w:shd w:fill="CCEEFF" w:val="clear"/>
            <w:vAlign w:val="center"/>
          </w:tcPr>
          <w:p>
            <w:pPr>
              <w:pStyle w:val="TableContents"/>
              <w:bidi w:val="0"/>
              <w:spacing w:before="0" w:after="283"/>
              <w:jc w:val="left"/>
              <w:rPr/>
            </w:pPr>
            <w:r>
              <w:rPr/>
              <w:t> </w:t>
            </w:r>
          </w:p>
        </w:tc>
      </w:tr>
      <w:tr>
        <w:trPr/>
        <w:tc>
          <w:tcPr>
            <w:tcW w:w="1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3/20/2023</w:t>
            </w:r>
          </w:p>
        </w:tc>
        <w:tc>
          <w:tcPr>
            <w:tcW w:w="364"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3/20/2033</w:t>
            </w:r>
          </w:p>
        </w:tc>
        <w:tc>
          <w:tcPr>
            <w:tcW w:w="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90"/>
        <w:gridCol w:w="120"/>
        <w:gridCol w:w="144"/>
        <w:gridCol w:w="1214"/>
        <w:gridCol w:w="410"/>
        <w:gridCol w:w="60"/>
        <w:gridCol w:w="178"/>
        <w:gridCol w:w="1492"/>
        <w:gridCol w:w="60"/>
        <w:gridCol w:w="120"/>
        <w:gridCol w:w="102"/>
        <w:gridCol w:w="1163"/>
        <w:gridCol w:w="60"/>
        <w:gridCol w:w="120"/>
        <w:gridCol w:w="117"/>
        <w:gridCol w:w="1328"/>
        <w:gridCol w:w="60"/>
        <w:gridCol w:w="120"/>
        <w:gridCol w:w="84"/>
        <w:gridCol w:w="791"/>
        <w:gridCol w:w="60"/>
        <w:gridCol w:w="120"/>
        <w:gridCol w:w="119"/>
        <w:gridCol w:w="996"/>
        <w:gridCol w:w="77"/>
      </w:tblGrid>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7"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Date(1)</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3/20/2023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1,692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3/20/2033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3/20/2023</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18,373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3/20/2033</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5/08/2023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39,207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21,502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5/8/2033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3/28/2024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36,093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46,407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3/29/2034</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8/27/2024</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3/28/2024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36,093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46,407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8/28/2034</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8/27/2024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32,812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94,103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4/23/2035</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4/23/2025</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3/26/2025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48,085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4/22/2035</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6/24/2025</w:t>
            </w:r>
          </w:p>
        </w:tc>
        <w:tc>
          <w:tcPr>
            <w:tcW w:w="41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6/24/2025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83,300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4/22/2035</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Eric W. Roberts</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1/24/2020</w:t>
            </w:r>
          </w:p>
        </w:tc>
        <w:tc>
          <w:tcPr>
            <w:tcW w:w="41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5/20/2020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22,851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1/23/2030</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6/30/2020</w:t>
            </w:r>
          </w:p>
        </w:tc>
        <w:tc>
          <w:tcPr>
            <w:tcW w:w="41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5/20/2020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36,041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6/29/2030</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4/28/2021</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2/22/2021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4/27/2031</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4/28/2021</w:t>
            </w:r>
          </w:p>
        </w:tc>
        <w:tc>
          <w:tcPr>
            <w:tcW w:w="41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4/28/2021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11,739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4/27/2031</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7/1/2021</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2/22/2021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6/30/2031</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7/1/2021</w:t>
            </w:r>
          </w:p>
        </w:tc>
        <w:tc>
          <w:tcPr>
            <w:tcW w:w="410"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3/20/2023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11,778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6/30/2031</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8/31/2022</w:t>
            </w:r>
          </w:p>
        </w:tc>
        <w:tc>
          <w:tcPr>
            <w:tcW w:w="41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5/16/2022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8/30/2032</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8/31/2022</w:t>
            </w:r>
          </w:p>
        </w:tc>
        <w:tc>
          <w:tcPr>
            <w:tcW w:w="41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8/30/2032</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8/31/2022</w:t>
            </w:r>
          </w:p>
        </w:tc>
        <w:tc>
          <w:tcPr>
            <w:tcW w:w="410"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8/31/2022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8/30/2032</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3/20/2023</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4,073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3/19/2033</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3/20/2023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15,462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3/19/2033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3/20/2023</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3/19/2033</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5/8/2023</w:t>
            </w:r>
          </w:p>
        </w:tc>
        <w:tc>
          <w:tcPr>
            <w:tcW w:w="41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5/8/2023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39,207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21,502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5/7/2033</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3/28/2024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33,906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43,594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3/28/2034</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8/27/2024</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3/28/2024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33,906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43,594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8/26/2034</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4/23/2024</w:t>
            </w:r>
          </w:p>
        </w:tc>
        <w:tc>
          <w:tcPr>
            <w:tcW w:w="41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3/26/2025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48,859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4/23/2035</w:t>
            </w:r>
          </w:p>
        </w:tc>
        <w:tc>
          <w:tcPr>
            <w:tcW w:w="77" w:type="dxa"/>
            <w:tcBorders/>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4/23/2024</w:t>
            </w:r>
          </w:p>
        </w:tc>
        <w:tc>
          <w:tcPr>
            <w:tcW w:w="410"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3/26/2024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81,141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4/23/2035</w:t>
            </w:r>
          </w:p>
        </w:tc>
        <w:tc>
          <w:tcPr>
            <w:tcW w:w="77" w:type="dxa"/>
            <w:tcBorders/>
            <w:shd w:fill="CCEEFF" w:val="clear"/>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6/24/2025</w:t>
            </w:r>
          </w:p>
        </w:tc>
        <w:tc>
          <w:tcPr>
            <w:tcW w:w="41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6/24/2025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57,750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4/22/2035</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outstanding equity awards granted to Dr. Leheny, Mr. Roberts and Dr. Stauderman were granted under our 2006 Stock Plan for awards granted on or before March 20, 2023. All awards granted after March 20, 2023 were granted under our 2023 Plan.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25% of the shares subject to the stock option vested on the vesting commencement date and the balance vested in a series of 36 successive monthly installments thereafter.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vests at a rate of 1/48th of the shares of our common stock underlying the stock option on the vesting commencement date, and 1/48th of the shares of our common stock underlying the stock option monthly thereafter. The award is also subject to acceleration upon certain events as described in the section titled “—Potential Payments upon Termination.”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vests at a rate of 1/48th of the shares of our common stock underlying the stock option on the vesting commencement date, and 1/48th of the shares of our common stock underlying the stock option vests monthly thereafter. </w:t>
            </w:r>
          </w:p>
        </w:tc>
      </w:tr>
    </w:tbl>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(5)</w:t>
            </w:r>
          </w:p>
        </w:tc>
        <w:tc>
          <w:tcPr>
            <w:tcW w:w="73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100% of the shares subject to the stock option vested on the vesting commencement date. </w:t>
            </w:r>
          </w:p>
        </w:tc>
      </w:tr>
    </w:tbl>
    <w:tbl>
      <w:tblPr>
        <w:tblW w:w="7780" w:type="dxa"/>
        <w:jc w:val="left"/>
        <w:tblInd w:w="0" w:type="dxa"/>
        <w:tblLayout w:type="fixed"/>
        <w:tblCellMar>
          <w:top w:w="0" w:type="dxa"/>
          <w:left w:w="0" w:type="dxa"/>
          <w:bottom w:w="0" w:type="dxa"/>
          <w:right w:w="0" w:type="dxa"/>
        </w:tblCellMar>
      </w:tblPr>
      <w:tblGrid>
        <w:gridCol w:w="305"/>
        <w:gridCol w:w="7475"/>
      </w:tblGrid>
      <w:tr>
        <w:trPr/>
        <w:tc>
          <w:tcPr>
            <w:tcW w:w="305" w:type="dxa"/>
            <w:tcBorders/>
            <w:vAlign w:val="center"/>
          </w:tcPr>
          <w:p>
            <w:pPr>
              <w:pStyle w:val="TableContents"/>
              <w:bidi w:val="0"/>
              <w:spacing w:before="0" w:after="283"/>
              <w:jc w:val="left"/>
              <w:rPr/>
            </w:pPr>
            <w:r>
              <w:rPr/>
              <w:t>(6)</w:t>
            </w:r>
          </w:p>
        </w:tc>
        <w:tc>
          <w:tcPr>
            <w:tcW w:w="74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vested in equal daily installments until fully vested on October 31, 2022.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25% of the shares subject to the stock option vested on the one year anniversary of the vesting commencement date and 1/48th of the shares of our common stock underlying the stock option vest monthly thereafter. The award is also subject to acceleration upon certain events as described in the section titled “—Potential Payments upon Termination.” </w:t>
            </w:r>
          </w:p>
        </w:tc>
      </w:tr>
    </w:tbl>
    <w:tbl>
      <w:tblPr>
        <w:tblW w:w="7285" w:type="dxa"/>
        <w:jc w:val="left"/>
        <w:tblInd w:w="0" w:type="dxa"/>
        <w:tblLayout w:type="fixed"/>
        <w:tblCellMar>
          <w:top w:w="0" w:type="dxa"/>
          <w:left w:w="0" w:type="dxa"/>
          <w:bottom w:w="0" w:type="dxa"/>
          <w:right w:w="0" w:type="dxa"/>
        </w:tblCellMar>
      </w:tblPr>
      <w:tblGrid>
        <w:gridCol w:w="305"/>
        <w:gridCol w:w="6980"/>
      </w:tblGrid>
      <w:tr>
        <w:trPr/>
        <w:tc>
          <w:tcPr>
            <w:tcW w:w="305" w:type="dxa"/>
            <w:tcBorders/>
            <w:vAlign w:val="center"/>
          </w:tcPr>
          <w:p>
            <w:pPr>
              <w:pStyle w:val="TableContents"/>
              <w:bidi w:val="0"/>
              <w:spacing w:before="0" w:after="283"/>
              <w:jc w:val="left"/>
              <w:rPr/>
            </w:pPr>
            <w:r>
              <w:rPr/>
              <w:t>(8)</w:t>
            </w:r>
          </w:p>
        </w:tc>
        <w:tc>
          <w:tcPr>
            <w:tcW w:w="6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100% of the shares subject to the stock option vested upon the closing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25% of the shares subject to the stock option vested on the one year anniversary of the vesting commencement date and 1/48th of the shares of our common stock underlying the stock option vested monthly thereafter.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vested at a rate of 1/12th of the shares of our common stock underlying the stock option on the vesting commencement date, and 1/12th of the shares of our common stock underlying the stock option monthly thereafter. </w:t>
            </w:r>
          </w:p>
        </w:tc>
      </w:tr>
    </w:tbl>
    <w:tbl>
      <w:tblPr>
        <w:tblW w:w="8110" w:type="dxa"/>
        <w:jc w:val="left"/>
        <w:tblInd w:w="0" w:type="dxa"/>
        <w:tblLayout w:type="fixed"/>
        <w:tblCellMar>
          <w:top w:w="0" w:type="dxa"/>
          <w:left w:w="0" w:type="dxa"/>
          <w:bottom w:w="0" w:type="dxa"/>
          <w:right w:w="0" w:type="dxa"/>
        </w:tblCellMar>
      </w:tblPr>
      <w:tblGrid>
        <w:gridCol w:w="425"/>
        <w:gridCol w:w="7685"/>
      </w:tblGrid>
      <w:tr>
        <w:trPr/>
        <w:tc>
          <w:tcPr>
            <w:tcW w:w="425" w:type="dxa"/>
            <w:tcBorders/>
            <w:vAlign w:val="center"/>
          </w:tcPr>
          <w:p>
            <w:pPr>
              <w:pStyle w:val="TableContents"/>
              <w:bidi w:val="0"/>
              <w:spacing w:before="0" w:after="283"/>
              <w:jc w:val="left"/>
              <w:rPr/>
            </w:pPr>
            <w:r>
              <w:rPr/>
              <w:t>(11)</w:t>
            </w:r>
          </w:p>
        </w:tc>
        <w:tc>
          <w:tcPr>
            <w:tcW w:w="7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stock option vested in equal daily installments until fully vested on September 30, 2022.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(12)</w:t>
            </w:r>
          </w:p>
        </w:tc>
        <w:tc>
          <w:tcPr>
            <w:tcW w:w="9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One-fourth (1/4) of the shares subject to the stock option vests on the vesting commencement date; thereafter, the remaining shares shall vest in equal monthly installments over 36 months following the achievement of a pre-determined milestone. The milestone was achieved November 21, 2020.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Option Exercises and Stock Vested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regarding options exercised during 2025 for our Named Executive Officers. There were no stock awards held by our Named Executive Officers during 2025.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015"/>
        <w:gridCol w:w="120"/>
        <w:gridCol w:w="105"/>
        <w:gridCol w:w="1190"/>
        <w:gridCol w:w="60"/>
        <w:gridCol w:w="120"/>
        <w:gridCol w:w="97"/>
        <w:gridCol w:w="1108"/>
        <w:gridCol w:w="7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Acquired on</w:t>
              <w:br/>
              <w:t>Exercise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Realized on</w:t>
              <w:br/>
              <w:t>Exercise</w:t>
              <w:br/>
              <w:t>($)(1)</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22,950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value realized on exercise is based on the difference between the closing price of our common stock on the date of exercise and the applicable exercise price of those options, and does not represent actual amounts received by the Named Executive Officers as a result of the option exercises.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both"/>
        <w:rPr>
          <w:rFonts w:ascii="Times New Roman" w:hAnsi="Times New Roman"/>
          <w:sz w:val="20"/>
        </w:rPr>
      </w:pPr>
      <w:r>
        <w:rPr>
          <w:rFonts w:ascii="Times New Roman" w:hAnsi="Times New Roman"/>
          <w:sz w:val="20"/>
        </w:rPr>
        <w:t xml:space="preserve">We previously entered into offer letters with each of A. Rachel Leheny, Ph.D., dated as of May 20, 2020; Eric W. Roberts, dated as of May 20, 2020; and Sudarshan Hebbar, M.D., dated as of August 14, 2015. The offer letters generally provide for at-will employment and set forth the named executive officer’s initial base salary, eligibility for employee benefits and equity awards, and their compensation is reviewed periodically and subject to the discretion of our Board of Directors and Compensation Committee. Any potential payments and benefits due upon a termination of employment or in connection with a change in control of us are described below in “—Potential Payments upon 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Outside of a Change in Control Severance Policy. </w:t>
      </w:r>
    </w:p>
    <w:p>
      <w:pPr>
        <w:pStyle w:val="TextBody"/>
        <w:bidi w:val="0"/>
        <w:spacing w:before="120" w:after="0"/>
        <w:jc w:val="both"/>
        <w:rPr>
          <w:rFonts w:ascii="Times New Roman" w:hAnsi="Times New Roman"/>
          <w:sz w:val="20"/>
        </w:rPr>
      </w:pPr>
      <w:r>
        <w:rPr>
          <w:rFonts w:ascii="Times New Roman" w:hAnsi="Times New Roman"/>
          <w:sz w:val="20"/>
        </w:rPr>
        <w:t xml:space="preserve">Dr. Leheny’s offer letter provides that if her employment is terminated by us without “cause” or Dr. Leheny resigns for “good reason” (each, as defined in Dr. Leheny’s offer letter), she will be entitled to receive (i) continued payment of her then-current base salary for 12 months, (ii) premiums for Dr. Leheny’s COBRA continuation health coverage for up to 12 months, and (iii) the acceleration of 12 months of vesting of any outstanding but unvested stock options or other equity awards held by Dr. Leheny. Furthermore, upon termination of her services to us, Dr. Leheny shall have at least 12 months following her termination date to exercise her options. In addition, in the event of a change in control (as defined in our 2006 Stock Plan), all of the outstanding and unvested stock options held by Dr. Leheny at such time will become fully vested and immediately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Mr. Roberts’ offer letter provides that if his employment is terminated by us without “cause” or Mr. Roberts resigns for “good reason” (each, as defined in Mr. Roberts’ offer letter), he will be entitled to receive (i) continued payment of his then-current base salary for 12 months, (ii) premiums for Mr. Roberts’ COBRA continuation health coverage for up to 12 months, and (iii) the acceleration of 12 months of vesting of any outstanding but unvested stock options or other equity awards held by Mr. Roberts. Furthermore, upon termination of his services to us, Mr. Roberts shall have at least 12 months following his termination date to exercise his options. In addition, in the event of a change in control (as defined in our 2006 Stock Plan), all of the outstanding and unvested stock options held by Mr. Roberts at such time will become fully vested and immediately exercisable. </w:t>
      </w:r>
    </w:p>
    <w:p>
      <w:pPr>
        <w:pStyle w:val="TextBody"/>
        <w:bidi w:val="0"/>
        <w:spacing w:before="240" w:after="0"/>
        <w:jc w:val="both"/>
        <w:rPr>
          <w:rFonts w:ascii="Times New Roman" w:hAnsi="Times New Roman"/>
          <w:sz w:val="20"/>
        </w:rPr>
      </w:pPr>
      <w:r>
        <w:rPr>
          <w:rFonts w:ascii="Times New Roman" w:hAnsi="Times New Roman"/>
          <w:sz w:val="20"/>
        </w:rPr>
        <w:t xml:space="preserve">Dr. Hebbar’s offer letter, as amended, provides that if his employment is terminated by us without “cause” (other than as a result of death or disability) prior to a “change in control” (as defined in Dr. Hebbar’s offer letter), he will be entitled to receive (i) continued payment of his then-current base salary for nine months and (ii) reimbursement of premiums for Dr. Hebbar’s COBRA continuation health coverage for up to nine months. If such termination or resignation occurs following the consummation of a “change in control” (as defined in the offer letter) for reasons other than “cause” (other than as a result of death or disability), he will be entitled to receive acceleration of all of then outstanding and unvested equity awards, such that all outstanding and unvested stock options held by Dr. Hebbar will become fully vested and immediately exercisable.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and Severance Policy.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who are current officers of the Company participate in our Change in Control Severance Policy (as amended, the “Change in Control Severance Policy”).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Change in Control Severance Policy, in the event that Dr. Leheny is terminated without “cause” (as defined in the Change in Control Severance Policy) or resigns for “good reason” (as defined in the Change in Control Severance Policy) on or within 12 months following a “change in control” of us (as defined in the Change in Control Severance Policy), Dr. Leheny will be entitled to receive a cash amount, payable in a lump sum, equal to (i) 18 months’ annual base salary and (ii) 1.5 times her target bonus for the fiscal year in which the termination occurs. Dr. Leheny will also be entitled to continued coverage under our group-healthcare plans for a period ending on the earlier of (x) 18 months following the termination date and (y) the date that Dr. Leheny and her covered dependents become eligible for coverage under another employer’s plans. In addition, each then-outstanding equity award that is granted on or after September 24, 2020 that vests subject to Dr. Leheny’s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the acceleration of equity awards subject to performance-based vesting criteria shall be deemed to have been met based on the achievement of such award at the greater of target or, if determinable, actual performance.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Change in Control Severance Policy, in the event that Mr. Roberts or Dr. Hebbar is terminated without “cause” (as defined in the Change in Control Severance Policy) or resigns for “good reason” (as defined in the Change in Control Severance Policy) within 12 months following a “change in control” of us (as defined in the Change in Control Severance Policy), he will be entitled to receive a cash amount, payable in a lump sum, equal to (i) 15 months’ annual base salary and (ii) 1.25 times his target bonus for the fiscal year in which the termination occurs. He will also be entitled to continued coverage under our group-healthcare plans for a period ending on the earlier of (x) 15 months following the termination date and (y) the date that he and his covered dependents become eligible for coverage under another employer’s plans. In addition, each then-outstanding equity award that is granted on or after September 24, 2020 that vests subject to his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acceleration of equity awards subject to performance-based vesting criteria shall be deemed to have been met based on the achievement of such award at the greater of target or, if determinable, actual performance. </w:t>
      </w:r>
    </w:p>
    <w:p>
      <w:pPr>
        <w:pStyle w:val="TextBody"/>
        <w:bidi w:val="0"/>
        <w:spacing w:before="240" w:after="0"/>
        <w:jc w:val="both"/>
        <w:rPr>
          <w:rFonts w:ascii="Times New Roman" w:hAnsi="Times New Roman"/>
          <w:sz w:val="20"/>
        </w:rPr>
      </w:pPr>
      <w:r>
        <w:rPr>
          <w:rFonts w:ascii="Times New Roman" w:hAnsi="Times New Roman"/>
          <w:sz w:val="20"/>
        </w:rPr>
        <w:t xml:space="preserve">The vesting of any outstanding equity award that is not assumed by a successor company following a change in control of us will automatically accelerate in full without regard to our named executive officers’ termination of service. </w:t>
      </w:r>
    </w:p>
    <w:p>
      <w:pPr>
        <w:pStyle w:val="TextBody"/>
        <w:bidi w:val="0"/>
        <w:spacing w:before="240" w:after="0"/>
        <w:jc w:val="both"/>
        <w:rPr>
          <w:rFonts w:ascii="Times New Roman" w:hAnsi="Times New Roman"/>
          <w:sz w:val="20"/>
        </w:rPr>
      </w:pPr>
      <w:r>
        <w:rPr>
          <w:rFonts w:ascii="Times New Roman" w:hAnsi="Times New Roman"/>
          <w:sz w:val="20"/>
        </w:rPr>
        <w:t xml:space="preserve">All such severance payments and benefits are subject to each named executive officer’s execution of a general release of claims against us.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both"/>
        <w:rPr>
          <w:rFonts w:ascii="Times New Roman" w:hAnsi="Times New Roman"/>
          <w:sz w:val="20"/>
        </w:rPr>
      </w:pPr>
      <w:r>
        <w:rPr>
          <w:rFonts w:ascii="Times New Roman" w:hAnsi="Times New Roman"/>
          <w:sz w:val="20"/>
        </w:rPr>
        <w:t xml:space="preserve">In November 2023, our Compensation Committee adopted an incentive compensation recoupment policy (the “Clawback Policy”) in accordance with Rule 10D-1 of the Exchange Act and Nasdaq Rule 5608 that requires the Company to recover excess incentive compensation that was paid to an executive officer based in whole or in part on financial results that were subject to a restatement of the Company’s financial statements. The Clawback Policy specifies that following an accounting restatement, the Company must reasonably promptly recoup any compensation that is granted, earned or vested based wholly or in part upon the attainment of a financial reporting measure (“Incentive Compensation”) and which exceeds the amount that would have been received had such Incentive Compensation been determined based on the accounting restatement, unless the Compensation Committee determines that such recoupment would be impracticable. The Clawback Policy applies to all Incentive Compensation received during a three-year period preceding a restatement by a person (a) after beginning services as an executive officer, (b) who served as an executive officer at any time during the performance period for the applicable Incentive Compensation and (c) while the Company has securities listed on Nasdaq or another national securities exchange or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both"/>
        <w:rPr>
          <w:rFonts w:ascii="Times New Roman" w:hAnsi="Times New Roman"/>
          <w:sz w:val="20"/>
        </w:rPr>
      </w:pPr>
      <w:r>
        <w:rPr>
          <w:rFonts w:ascii="Times New Roman" w:hAnsi="Times New Roman"/>
          <w:sz w:val="20"/>
        </w:rPr>
        <w:t xml:space="preserve">The disclosure included in this section is prescribed by SEC rules and does not necessarily align with how the Company or the Compensation Committee view the link between the Company’s performance and named executive officer pay. This disclosure is intended to comply with the requirements of Item 402(v) of </w:t>
      </w:r>
    </w:p>
    <w:p>
      <w:pPr>
        <w:pStyle w:val="TextBody"/>
        <w:bidi w:val="0"/>
        <w:spacing w:before="120" w:after="0"/>
        <w:jc w:val="both"/>
        <w:rPr>
          <w:rFonts w:ascii="Times New Roman" w:hAnsi="Times New Roman"/>
          <w:sz w:val="20"/>
        </w:rPr>
      </w:pPr>
      <w:r>
        <w:rPr>
          <w:rFonts w:ascii="Times New Roman" w:hAnsi="Times New Roman"/>
          <w:sz w:val="20"/>
        </w:rPr>
        <w:t>Regulation S-K</w:t>
      </w:r>
    </w:p>
    <w:p>
      <w:pPr>
        <w:pStyle w:val="TextBody"/>
        <w:bidi w:val="0"/>
        <w:spacing w:before="120" w:after="0"/>
        <w:jc w:val="both"/>
        <w:rPr>
          <w:rFonts w:ascii="Times New Roman" w:hAnsi="Times New Roman"/>
          <w:sz w:val="20"/>
        </w:rPr>
      </w:pPr>
      <w:r>
        <w:rPr>
          <w:rFonts w:ascii="Times New Roman" w:hAnsi="Times New Roman"/>
          <w:sz w:val="20"/>
        </w:rPr>
        <w:t xml:space="preserve">applicable to “smaller reporting companies.” For additional information about our pay for performance compensation philosophy and how we seek to align executive compensation with the Company’s performance, refer to “Executive Compensation” above. </w:t>
      </w:r>
    </w:p>
    <w:p>
      <w:pPr>
        <w:pStyle w:val="TextBody"/>
        <w:bidi w:val="0"/>
        <w:spacing w:before="240" w:after="0"/>
        <w:jc w:val="both"/>
        <w:rPr>
          <w:rFonts w:ascii="Times New Roman" w:hAnsi="Times New Roman"/>
          <w:sz w:val="20"/>
        </w:rPr>
      </w:pPr>
      <w:r>
        <w:rPr>
          <w:rFonts w:ascii="Times New Roman" w:hAnsi="Times New Roman"/>
          <w:sz w:val="20"/>
        </w:rPr>
        <w:t xml:space="preserve">The amounts set forth below under the headings “Compensation Actually Paid to PEO” and “Average Compensation Actually Paid to </w:t>
      </w:r>
    </w:p>
    <w:p>
      <w:pPr>
        <w:pStyle w:val="TextBody"/>
        <w:bidi w:val="0"/>
        <w:spacing w:before="240" w:after="0"/>
        <w:jc w:val="both"/>
        <w:rPr>
          <w:rFonts w:ascii="Times New Roman" w:hAnsi="Times New Roman"/>
          <w:spacing w:val="0"/>
          <w:sz w:val="20"/>
        </w:rPr>
      </w:pPr>
      <w:r>
        <w:rPr>
          <w:rFonts w:ascii="Times New Roman" w:hAnsi="Times New Roman"/>
          <w:spacing w:val="0"/>
          <w:sz w:val="20"/>
        </w:rPr>
        <w:t>Non-PEO</w:t>
      </w:r>
    </w:p>
    <w:p>
      <w:pPr>
        <w:pStyle w:val="TextBody"/>
        <w:bidi w:val="0"/>
        <w:spacing w:before="240" w:after="0"/>
        <w:jc w:val="both"/>
        <w:rPr>
          <w:rFonts w:ascii="Times New Roman" w:hAnsi="Times New Roman"/>
          <w:sz w:val="20"/>
        </w:rPr>
      </w:pPr>
      <w:r>
        <w:rPr>
          <w:rFonts w:ascii="Times New Roman" w:hAnsi="Times New Roman"/>
          <w:sz w:val="20"/>
        </w:rPr>
        <w:t xml:space="preserve">NEOs” have been calculated in a manner consistent with Item 402(v) of Regulation </w:t>
      </w:r>
    </w:p>
    <w:p>
      <w:pPr>
        <w:pStyle w:val="TextBody"/>
        <w:bidi w:val="0"/>
        <w:spacing w:before="240" w:after="0"/>
        <w:jc w:val="both"/>
        <w:rPr>
          <w:rFonts w:ascii="Times New Roman" w:hAnsi="Times New Roman"/>
          <w:spacing w:val="0"/>
          <w:sz w:val="20"/>
        </w:rPr>
      </w:pPr>
      <w:r>
        <w:rPr>
          <w:rFonts w:ascii="Times New Roman" w:hAnsi="Times New Roman"/>
          <w:spacing w:val="0"/>
          <w:sz w:val="20"/>
        </w:rPr>
        <w:t>S-K.</w:t>
      </w:r>
    </w:p>
    <w:p>
      <w:pPr>
        <w:pStyle w:val="TextBody"/>
        <w:bidi w:val="0"/>
        <w:spacing w:before="240" w:after="0"/>
        <w:jc w:val="both"/>
        <w:rPr>
          <w:rFonts w:ascii="Times New Roman" w:hAnsi="Times New Roman"/>
          <w:sz w:val="20"/>
        </w:rPr>
      </w:pPr>
      <w:r>
        <w:rPr>
          <w:rFonts w:ascii="Times New Roman" w:hAnsi="Times New Roman"/>
          <w:sz w:val="20"/>
        </w:rPr>
        <w:t xml:space="preserve">Use of the term “compensation actually paid” (“CAP”) is required by the SEC’s rules and as a result of the calculation methodology required by the SEC, such amounts differ from compensation actually received by the individuals and the compensation decisions described in the “Executive Compensation” section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05"/>
        <w:gridCol w:w="120"/>
        <w:gridCol w:w="85"/>
        <w:gridCol w:w="1405"/>
        <w:gridCol w:w="60"/>
        <w:gridCol w:w="120"/>
        <w:gridCol w:w="85"/>
        <w:gridCol w:w="1405"/>
        <w:gridCol w:w="60"/>
        <w:gridCol w:w="120"/>
        <w:gridCol w:w="85"/>
        <w:gridCol w:w="1405"/>
        <w:gridCol w:w="60"/>
        <w:gridCol w:w="120"/>
        <w:gridCol w:w="85"/>
        <w:gridCol w:w="1405"/>
        <w:gridCol w:w="60"/>
        <w:gridCol w:w="120"/>
        <w:gridCol w:w="174"/>
        <w:gridCol w:w="1106"/>
        <w:gridCol w:w="60"/>
        <w:gridCol w:w="120"/>
        <w:gridCol w:w="66"/>
        <w:gridCol w:w="704"/>
        <w:gridCol w:w="170"/>
      </w:tblGrid>
      <w:tr>
        <w:trPr/>
        <w:tc>
          <w:tcPr>
            <w:tcW w:w="1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0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Fiscal Year (1)</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 ($)</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 ($)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(5)</w:t>
              <w:b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r>
          </w:p>
          <w:p>
            <w:pPr>
              <w:pStyle w:val="TableContents"/>
              <w:bidi w:val="0"/>
              <w:spacing w:before="0" w:after="0"/>
              <w:jc w:val="center"/>
              <w:rPr/>
            </w:pPr>
            <w:r>
              <w:rPr/>
            </w:r>
          </w:p>
          <w:p>
            <w:pPr>
              <w:pStyle w:val="TableContents"/>
              <w:bidi w:val="0"/>
              <w:spacing w:before="0" w:after="0"/>
              <w:jc w:val="center"/>
              <w:rPr>
                <w:b/>
                <w:spacing w:val="0"/>
              </w:rPr>
            </w:pPr>
            <w:r>
              <w:rPr>
                <w:b/>
                <w:spacing w:val="0"/>
              </w:rPr>
              <w:t>Initial</w:t>
            </w:r>
          </w:p>
          <w:p>
            <w:pPr>
              <w:pStyle w:val="TableContents"/>
              <w:bidi w:val="0"/>
              <w:spacing w:before="0" w:after="0"/>
              <w:jc w:val="center"/>
              <w:rPr/>
            </w:pPr>
            <w:r>
              <w:rPr/>
            </w:r>
          </w:p>
          <w:p>
            <w:pPr>
              <w:pStyle w:val="TableContents"/>
              <w:bidi w:val="0"/>
              <w:spacing w:before="0" w:after="0"/>
              <w:jc w:val="center"/>
              <w:rPr>
                <w:b/>
                <w:spacing w:val="0"/>
              </w:rPr>
            </w:pPr>
            <w:r>
              <w:rPr>
                <w:b/>
                <w:spacing w:val="0"/>
              </w:rPr>
              <w:t>Fixed $100</w:t>
            </w:r>
          </w:p>
          <w:p>
            <w:pPr>
              <w:pStyle w:val="TableContents"/>
              <w:bidi w:val="0"/>
              <w:spacing w:before="0" w:after="0"/>
              <w:jc w:val="center"/>
              <w:rPr/>
            </w:pPr>
            <w:r>
              <w:rPr/>
            </w:r>
          </w:p>
          <w:p>
            <w:pPr>
              <w:pStyle w:val="TableContents"/>
              <w:bidi w:val="0"/>
              <w:spacing w:before="0" w:after="0"/>
              <w:jc w:val="center"/>
              <w:rPr>
                <w:b/>
                <w:spacing w:val="0"/>
              </w:rPr>
            </w:pPr>
            <w:r>
              <w:rPr>
                <w:b/>
                <w:spacing w:val="0"/>
              </w:rPr>
              <w:t>Investment</w:t>
            </w:r>
          </w:p>
          <w:p>
            <w:pPr>
              <w:pStyle w:val="TableContents"/>
              <w:bidi w:val="0"/>
              <w:spacing w:before="0" w:after="0"/>
              <w:jc w:val="center"/>
              <w:rPr/>
            </w:pPr>
            <w:r>
              <w:rPr/>
            </w:r>
          </w:p>
          <w:p>
            <w:pPr>
              <w:pStyle w:val="TableContents"/>
              <w:bidi w:val="0"/>
              <w:spacing w:before="0" w:after="0"/>
              <w:jc w:val="center"/>
              <w:rPr>
                <w:b/>
                <w:spacing w:val="0"/>
              </w:rPr>
            </w:pPr>
            <w:r>
              <w:rPr>
                <w:b/>
                <w:spacing w:val="0"/>
              </w:rPr>
              <w:t>Based on</w:t>
              <w:br/>
              <w:t>Total</w:t>
              <w:br/>
              <w:t>Shareholder</w:t>
              <w:br/>
              <w:t>Return ($)</w:t>
              <w:b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(Loss)</w:t>
              <w:br/>
              <w:t>($M)</w:t>
              <w:br/>
              <w:t>(8)</w:t>
            </w:r>
          </w:p>
        </w:tc>
        <w:tc>
          <w:tcPr>
            <w:tcW w:w="170" w:type="dxa"/>
            <w:tcBorders/>
            <w:vAlign w:val="center"/>
          </w:tcPr>
          <w:p>
            <w:pPr>
              <w:pStyle w:val="TableContents"/>
              <w:bidi w:val="0"/>
              <w:spacing w:before="0" w:after="283"/>
              <w:jc w:val="left"/>
              <w:rPr/>
            </w:pPr>
            <w:r>
              <w:rPr/>
              <w:t> </w:t>
            </w:r>
          </w:p>
        </w:tc>
      </w:tr>
      <w:tr>
        <w:trPr/>
        <w:tc>
          <w:tcPr>
            <w:tcW w:w="1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895,410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2,436,913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733,437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1,668,242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(29.56</w:t>
            </w:r>
          </w:p>
        </w:tc>
        <w:tc>
          <w:tcPr>
            <w:tcW w:w="170" w:type="dxa"/>
            <w:tcBorders/>
            <w:shd w:fill="CCEEFF" w:val="clear"/>
            <w:vAlign w:val="center"/>
          </w:tcPr>
          <w:p>
            <w:pPr>
              <w:pStyle w:val="TableContents"/>
              <w:bidi w:val="0"/>
              <w:spacing w:before="0" w:after="283"/>
              <w:jc w:val="left"/>
              <w:rPr/>
            </w:pPr>
            <w:r>
              <w:rPr/>
              <w:t>) </w:t>
            </w:r>
          </w:p>
        </w:tc>
      </w:tr>
      <w:tr>
        <w:trPr/>
        <w:tc>
          <w:tcPr>
            <w:tcW w:w="1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1,657,842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1,459,806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1,321,917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1,177,179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(13.70</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305"/>
        <w:gridCol w:w="5165"/>
      </w:tblGrid>
      <w:tr>
        <w:trPr/>
        <w:tc>
          <w:tcPr>
            <w:tcW w:w="305" w:type="dxa"/>
            <w:tcBorders/>
            <w:vAlign w:val="center"/>
          </w:tcPr>
          <w:p>
            <w:pPr>
              <w:pStyle w:val="TableContents"/>
              <w:bidi w:val="0"/>
              <w:spacing w:before="0" w:after="283"/>
              <w:jc w:val="left"/>
              <w:rPr/>
            </w:pPr>
            <w:r>
              <w:rPr/>
              <w:t>(1)</w:t>
            </w:r>
          </w:p>
        </w:tc>
        <w:tc>
          <w:tcPr>
            <w:tcW w:w="5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Rachel Leheny, Ph.D. was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our </w:t>
            </w:r>
          </w:p>
          <w:p>
            <w:pPr>
              <w:pStyle w:val="TableContents"/>
              <w:bidi w:val="0"/>
              <w:spacing w:before="0" w:after="0"/>
              <w:jc w:val="both"/>
              <w:rPr>
                <w:rFonts w:ascii="Times New Roman" w:hAnsi="Times New Roman"/>
                <w:sz w:val="20"/>
              </w:rPr>
            </w:pPr>
            <w:r>
              <w:rPr>
                <w:rFonts w:ascii="Times New Roman" w:hAnsi="Times New Roman"/>
                <w:sz w:val="20"/>
              </w:rPr>
              <w:t xml:space="preserve">PEO for each fiscal year included in the table.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for each fiscal year included in the table were as follows: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1190"/>
        <w:gridCol w:w="120"/>
        <w:gridCol w:w="378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119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Fiscal Year</w:t>
            </w:r>
          </w:p>
        </w:tc>
        <w:tc>
          <w:tcPr>
            <w:tcW w:w="120"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Non-PEO</w:t>
            </w:r>
          </w:p>
          <w:p>
            <w:pPr>
              <w:pStyle w:val="TableContents"/>
              <w:bidi w:val="0"/>
              <w:spacing w:before="0" w:after="20"/>
              <w:jc w:val="center"/>
              <w:rPr>
                <w:rFonts w:ascii="Times New Roman" w:hAnsi="Times New Roman"/>
                <w:b/>
                <w:sz w:val="16"/>
              </w:rPr>
            </w:pPr>
            <w:r>
              <w:rPr>
                <w:rFonts w:ascii="Times New Roman" w:hAnsi="Times New Roman"/>
                <w:b/>
                <w:sz w:val="16"/>
              </w:rPr>
              <w:t>NEOs</w:t>
            </w:r>
          </w:p>
        </w:tc>
      </w:tr>
      <w:tr>
        <w:trPr/>
        <w:tc>
          <w:tcPr>
            <w:tcW w:w="1190" w:type="dxa"/>
            <w:tcBorders/>
            <w:vAlign w:val="center"/>
          </w:tcPr>
          <w:p>
            <w:pPr>
              <w:pStyle w:val="TableContents"/>
              <w:bidi w:val="0"/>
              <w:spacing w:before="0" w:after="283"/>
              <w:jc w:val="left"/>
              <w:rPr/>
            </w:pPr>
            <w:r>
              <w:rPr/>
              <w:t>2025</w:t>
            </w:r>
          </w:p>
        </w:tc>
        <w:tc>
          <w:tcPr>
            <w:tcW w:w="1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pPr>
            <w:r>
              <w:rPr/>
              <w:t>Sudarshan Hebbar and Eric W. Roberts</w:t>
            </w:r>
          </w:p>
        </w:tc>
      </w:tr>
      <w:tr>
        <w:trPr/>
        <w:tc>
          <w:tcPr>
            <w:tcW w:w="1190" w:type="dxa"/>
            <w:tcBorders/>
            <w:vAlign w:val="center"/>
          </w:tcPr>
          <w:p>
            <w:pPr>
              <w:pStyle w:val="TableContents"/>
              <w:bidi w:val="0"/>
              <w:spacing w:before="0" w:after="283"/>
              <w:jc w:val="left"/>
              <w:rPr/>
            </w:pPr>
            <w:r>
              <w:rPr/>
              <w:t>2024</w:t>
            </w:r>
          </w:p>
        </w:tc>
        <w:tc>
          <w:tcPr>
            <w:tcW w:w="12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pPr>
            <w:r>
              <w:rPr/>
              <w:t>Sudarshan Hebbar and Eric W. Roberts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reflect compensation amounts reported in the “Total” column of the Summary Compensation Table (“SCT”) for our Chief Executive Officer during the applicable year.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represent </w:t>
            </w:r>
          </w:p>
          <w:p>
            <w:pPr>
              <w:pStyle w:val="TableContents"/>
              <w:bidi w:val="0"/>
              <w:spacing w:before="0" w:after="0"/>
              <w:jc w:val="both"/>
              <w:rPr>
                <w:rFonts w:ascii="Times New Roman" w:hAnsi="Times New Roman"/>
                <w:sz w:val="20"/>
              </w:rPr>
            </w:pPr>
            <w:r>
              <w:rPr>
                <w:rFonts w:ascii="Times New Roman" w:hAnsi="Times New Roman"/>
                <w:sz w:val="20"/>
              </w:rPr>
              <w:t xml:space="preserve">the amount of “compensation actually paid” to our PEO, as computed in accordance with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Item </w:t>
            </w:r>
          </w:p>
          <w:p>
            <w:pPr>
              <w:pStyle w:val="TableContents"/>
              <w:bidi w:val="0"/>
              <w:spacing w:before="0" w:after="0"/>
              <w:jc w:val="both"/>
              <w:rPr>
                <w:rFonts w:ascii="Times New Roman" w:hAnsi="Times New Roman"/>
                <w:sz w:val="20"/>
              </w:rPr>
            </w:pPr>
            <w:r>
              <w:rPr>
                <w:rFonts w:ascii="Times New Roman" w:hAnsi="Times New Roman"/>
                <w:sz w:val="20"/>
              </w:rPr>
              <w:t xml:space="preserve">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amount of compensation earned by or paid to our PEO during the applicable year. The adjustments to these values are attributable largely to the changes in the value of our PEO’s equity compensation awards in light of stock price movements.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following adjustments were made to our PEO’s reported total compensation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90"/>
        <w:gridCol w:w="120"/>
        <w:gridCol w:w="140"/>
        <w:gridCol w:w="980"/>
        <w:gridCol w:w="60"/>
        <w:gridCol w:w="120"/>
        <w:gridCol w:w="140"/>
        <w:gridCol w:w="980"/>
        <w:gridCol w:w="75"/>
      </w:tblGrid>
      <w:tr>
        <w:trPr/>
        <w:tc>
          <w:tcPr>
            <w:tcW w:w="7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PEO*</w:t>
            </w:r>
          </w:p>
        </w:tc>
        <w:tc>
          <w:tcPr>
            <w:tcW w:w="75" w:type="dxa"/>
            <w:tcBorders/>
            <w:vAlign w:val="center"/>
          </w:tcPr>
          <w:p>
            <w:pPr>
              <w:pStyle w:val="TableContents"/>
              <w:bidi w:val="0"/>
              <w:spacing w:before="0" w:after="283"/>
              <w:jc w:val="left"/>
              <w:rPr/>
            </w:pPr>
            <w:r>
              <w:rPr/>
              <w:t> </w:t>
            </w:r>
          </w:p>
        </w:tc>
      </w:tr>
      <w:tr>
        <w:trPr/>
        <w:tc>
          <w:tcPr>
            <w:tcW w:w="75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Prior FYE</w:t>
            </w:r>
          </w:p>
          <w:p>
            <w:pPr>
              <w:pStyle w:val="TableContents"/>
              <w:bidi w:val="0"/>
              <w:spacing w:before="0" w:after="0"/>
              <w:jc w:val="left"/>
              <w:rPr>
                <w:rFonts w:ascii="Times New Roman" w:hAnsi="Times New Roman"/>
                <w:b/>
                <w:sz w:val="16"/>
              </w:rPr>
            </w:pPr>
            <w:r>
              <w:rPr>
                <w:rFonts w:ascii="Times New Roman" w:hAnsi="Times New Roman"/>
                <w:b/>
                <w:sz w:val="16"/>
              </w:rPr>
              <w:t>Current FYE</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1/1/2024</w:t>
              <w:br/>
              <w:t>1/1/2025</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12/31/2024</w:t>
              <w:br/>
              <w:t>12/31/2025</w:t>
              <w:br/>
              <w:t>2025</w:t>
            </w:r>
          </w:p>
        </w:tc>
        <w:tc>
          <w:tcPr>
            <w:tcW w:w="75" w:type="dxa"/>
            <w:tcBorders/>
            <w:vAlign w:val="center"/>
          </w:tcPr>
          <w:p>
            <w:pPr>
              <w:pStyle w:val="TableContents"/>
              <w:bidi w:val="0"/>
              <w:spacing w:before="0" w:after="283"/>
              <w:jc w:val="left"/>
              <w:rPr/>
            </w:pPr>
            <w:r>
              <w:rPr/>
              <w:t> </w:t>
            </w:r>
          </w:p>
        </w:tc>
      </w:tr>
      <w:tr>
        <w:trPr/>
        <w:tc>
          <w:tcPr>
            <w:tcW w:w="7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SCT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1,657,842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895,410</w:t>
            </w:r>
          </w:p>
        </w:tc>
        <w:tc>
          <w:tcPr>
            <w:tcW w:w="75" w:type="dxa"/>
            <w:tcBorders/>
            <w:shd w:fill="CCEEFF" w:val="clear"/>
            <w:vAlign w:val="center"/>
          </w:tcPr>
          <w:p>
            <w:pPr>
              <w:pStyle w:val="TableContents"/>
              <w:bidi w:val="0"/>
              <w:spacing w:before="0" w:after="283"/>
              <w:jc w:val="left"/>
              <w:rPr/>
            </w:pPr>
            <w:r>
              <w:rPr/>
              <w:t> </w:t>
            </w:r>
          </w:p>
        </w:tc>
      </w:tr>
      <w:tr>
        <w:trPr/>
        <w:tc>
          <w:tcPr>
            <w:tcW w:w="7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Grant Date Fair Value of Option Awards and Stock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962,550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464,485</w:t>
            </w:r>
          </w:p>
        </w:tc>
        <w:tc>
          <w:tcPr>
            <w:tcW w:w="75" w:type="dxa"/>
            <w:tcBorders/>
            <w:vAlign w:val="center"/>
          </w:tcPr>
          <w:p>
            <w:pPr>
              <w:pStyle w:val="TableContents"/>
              <w:bidi w:val="0"/>
              <w:spacing w:before="0" w:after="283"/>
              <w:jc w:val="left"/>
              <w:rPr/>
            </w:pPr>
            <w:r>
              <w:rPr/>
              <w:t> </w:t>
            </w:r>
          </w:p>
        </w:tc>
      </w:tr>
      <w:tr>
        <w:trPr/>
        <w:tc>
          <w:tcPr>
            <w:tcW w:w="7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at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Outstanding and Unvested Option Awards and Stock Awards Granted in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533,585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1,385,218</w:t>
            </w:r>
          </w:p>
        </w:tc>
        <w:tc>
          <w:tcPr>
            <w:tcW w:w="75" w:type="dxa"/>
            <w:tcBorders/>
            <w:shd w:fill="CCEEFF" w:val="clear"/>
            <w:vAlign w:val="center"/>
          </w:tcPr>
          <w:p>
            <w:pPr>
              <w:pStyle w:val="TableContents"/>
              <w:bidi w:val="0"/>
              <w:spacing w:before="0" w:after="283"/>
              <w:jc w:val="left"/>
              <w:rPr/>
            </w:pPr>
            <w:r>
              <w:rPr/>
              <w:t> </w:t>
            </w:r>
          </w:p>
        </w:tc>
      </w:tr>
      <w:tr>
        <w:trPr/>
        <w:tc>
          <w:tcPr>
            <w:tcW w:w="7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27,331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449,518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495"/>
        <w:gridCol w:w="120"/>
        <w:gridCol w:w="140"/>
        <w:gridCol w:w="980"/>
        <w:gridCol w:w="60"/>
        <w:gridCol w:w="120"/>
        <w:gridCol w:w="140"/>
        <w:gridCol w:w="980"/>
        <w:gridCol w:w="170"/>
      </w:tblGrid>
      <w:tr>
        <w:trPr/>
        <w:tc>
          <w:tcPr>
            <w:tcW w:w="7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PEO*</w:t>
            </w:r>
          </w:p>
        </w:tc>
        <w:tc>
          <w:tcPr>
            <w:tcW w:w="170" w:type="dxa"/>
            <w:tcBorders/>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Prior FYE</w:t>
            </w:r>
          </w:p>
          <w:p>
            <w:pPr>
              <w:pStyle w:val="TableContents"/>
              <w:bidi w:val="0"/>
              <w:spacing w:before="0" w:after="0"/>
              <w:jc w:val="left"/>
              <w:rPr>
                <w:rFonts w:ascii="Times New Roman" w:hAnsi="Times New Roman"/>
                <w:b/>
                <w:sz w:val="16"/>
              </w:rPr>
            </w:pPr>
            <w:r>
              <w:rPr>
                <w:rFonts w:ascii="Times New Roman" w:hAnsi="Times New Roman"/>
                <w:b/>
                <w:sz w:val="16"/>
              </w:rPr>
              <w:t>Current FYE</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1/1/2024</w:t>
              <w:br/>
              <w:t>1/1/2025</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12/31/2024</w:t>
              <w:br/>
              <w:t>12/31/2025</w:t>
              <w:br/>
              <w:t>2025</w:t>
            </w:r>
          </w:p>
        </w:tc>
        <w:tc>
          <w:tcPr>
            <w:tcW w:w="170"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147,459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244,178</w:t>
            </w:r>
          </w:p>
        </w:tc>
        <w:tc>
          <w:tcPr>
            <w:tcW w:w="170"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56,139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(72,927</w:t>
            </w:r>
          </w:p>
        </w:tc>
        <w:tc>
          <w:tcPr>
            <w:tcW w:w="170"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as of Prior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Option Awards and Stock Awards Granted in Prior Fiscal Years That Failed to Meet Applicable Vesting Conditions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1,459,806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2,436,913</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were added to or deducted from the SCT amount to determine the CAP as determined in accordance </w:t>
            </w:r>
          </w:p>
          <w:p>
            <w:pPr>
              <w:pStyle w:val="TableContents"/>
              <w:bidi w:val="0"/>
              <w:spacing w:before="0" w:after="0"/>
              <w:jc w:val="both"/>
              <w:rPr>
                <w:rFonts w:ascii="Times New Roman" w:hAnsi="Times New Roman"/>
                <w:sz w:val="20"/>
              </w:rPr>
            </w:pPr>
            <w:r>
              <w:rPr>
                <w:rFonts w:ascii="Times New Roman" w:hAnsi="Times New Roman"/>
                <w:sz w:val="20"/>
              </w:rPr>
              <w:t xml:space="preserve">with </w:t>
            </w:r>
          </w:p>
          <w:p>
            <w:pPr>
              <w:pStyle w:val="TableContents"/>
              <w:bidi w:val="0"/>
              <w:spacing w:before="0" w:after="0"/>
              <w:jc w:val="both"/>
              <w:rPr>
                <w:rFonts w:ascii="Times New Roman" w:hAnsi="Times New Roman"/>
                <w:sz w:val="20"/>
              </w:rPr>
            </w:pPr>
            <w:r>
              <w:rPr>
                <w:rFonts w:ascii="Times New Roman" w:hAnsi="Times New Roman"/>
                <w:sz w:val="20"/>
              </w:rPr>
              <w:t xml:space="preserve">SEC regulations. “Compensation actually paid” does not necessarily represent cash, and/or equity value transferred to the PEO without restriction, but rather is a value calculated under applicable SEC rules. Fair values set forth in the table below are computed in accordance with ASC 718 as of the end of the respective fiscal year, other than fair values of the awards that vest in the covered year, which are valued as of the applicable vesting date. The valuation methods and underlying assumptions did not materially differ from those disclosed at the time of grant date of the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(4)</w:t>
            </w:r>
          </w:p>
        </w:tc>
        <w:tc>
          <w:tcPr>
            <w:tcW w:w="990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reflect the average of the compensation amounts reported in the “Total” column of the SCT for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a group during the applicable year.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in this column represent the average amount of “compensation actually paid” to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computed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amount of compensation earned by or paid to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during the applicable year. The adjustments to these values are attributable largely to the changes in the value of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equity compensation awards in light of stock price movements.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following adjustments were made to the average of the reported total compensation for our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a group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15"/>
        <w:gridCol w:w="60"/>
        <w:gridCol w:w="140"/>
        <w:gridCol w:w="980"/>
        <w:gridCol w:w="60"/>
        <w:gridCol w:w="60"/>
        <w:gridCol w:w="140"/>
        <w:gridCol w:w="980"/>
        <w:gridCol w:w="170"/>
      </w:tblGrid>
      <w:tr>
        <w:trPr/>
        <w:tc>
          <w:tcPr>
            <w:tcW w:w="7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NEOs*</w:t>
            </w:r>
          </w:p>
        </w:tc>
        <w:tc>
          <w:tcPr>
            <w:tcW w:w="170"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Prior FYE</w:t>
            </w:r>
          </w:p>
          <w:p>
            <w:pPr>
              <w:pStyle w:val="TableContents"/>
              <w:bidi w:val="0"/>
              <w:spacing w:before="0" w:after="0"/>
              <w:jc w:val="left"/>
              <w:rPr>
                <w:rFonts w:ascii="Times New Roman" w:hAnsi="Times New Roman"/>
                <w:b/>
                <w:sz w:val="16"/>
              </w:rPr>
            </w:pPr>
            <w:r>
              <w:rPr>
                <w:rFonts w:ascii="Times New Roman" w:hAnsi="Times New Roman"/>
                <w:b/>
                <w:sz w:val="16"/>
              </w:rPr>
              <w:t>Current FYE</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Fiscal Year</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1/1/2024</w:t>
              <w:br/>
              <w:t>1/1/2025</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12/31/2024</w:t>
              <w:br/>
              <w:t>12/31/2025</w:t>
              <w:br/>
              <w:t>2025</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SCT 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1,321,917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733,437</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Grant Date Fair Value of Option Awards and Stock Awards Granted in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669,600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316,104</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at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of Outstanding and Unvested Option Awards and Stock Awards Granted in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371,190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814,119</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of Outstanding and Unvested Option Awards and Stock Awards Granted in Prior Fiscal Years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297,676</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Fair Value at Vesting of Option Awards and Stock Awards Granted in Fiscal Year That Vested During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102,580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186,129</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Change in Fair Value as of Vesting Date of Option Awards and Stock Awards Granted in Prior Fiscal Years For Which Applicable Vesting Conditions Were Satisfied During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35,889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(47,015</w:t>
            </w:r>
          </w:p>
        </w:tc>
        <w:tc>
          <w:tcPr>
            <w:tcW w:w="170"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 Fair Value as of Prior Fiscal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of Option </w:t>
            </w:r>
          </w:p>
          <w:p>
            <w:pPr>
              <w:pStyle w:val="TableContents"/>
              <w:bidi w:val="0"/>
              <w:spacing w:before="0" w:after="0"/>
              <w:jc w:val="left"/>
              <w:rPr>
                <w:rFonts w:ascii="Times New Roman" w:hAnsi="Times New Roman"/>
                <w:sz w:val="20"/>
              </w:rPr>
            </w:pPr>
            <w:r>
              <w:rPr>
                <w:rFonts w:ascii="Times New Roman" w:hAnsi="Times New Roman"/>
                <w:sz w:val="20"/>
              </w:rPr>
              <w:t xml:space="preserve">Awards </w:t>
            </w:r>
          </w:p>
          <w:p>
            <w:pPr>
              <w:pStyle w:val="TableContents"/>
              <w:bidi w:val="0"/>
              <w:spacing w:before="0" w:after="0"/>
              <w:jc w:val="left"/>
              <w:rPr>
                <w:rFonts w:ascii="Times New Roman" w:hAnsi="Times New Roman"/>
                <w:sz w:val="20"/>
              </w:rPr>
            </w:pPr>
            <w:r>
              <w:rPr>
                <w:rFonts w:ascii="Times New Roman" w:hAnsi="Times New Roman"/>
                <w:sz w:val="20"/>
              </w:rPr>
              <w:t>and Stock Awards Granted in Prior Fiscal Years That Failed to Meet Applicable Vesting Conditions During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1,177,179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1,668,242</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in this table were added to or deducted from the SCT amount to determine the CAP as determined in accordance with SEC regulations. “Compensation actually paid” does not necessarily represent cash, and/or equity value transferred to the applicable NEO without restriction, but rather is a value calculated under applicable SEC rules. Fair values set forth in the table below are computed in accordance with ASC 718 as of the end of the respective fiscal year, other than fair values of the awards that vest in the covered year, which are valued as of the applicable vesting date. The valuation methods and underlying assumptions did not materially differ from those disclosed at the time of grant date of the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(7)</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Total shareholder return (“TSR”) is calculated by dividing (a) the sum of (i) the cumulative amount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 xml:space="preserve">of </w:t>
            </w:r>
          </w:p>
          <w:p>
            <w:pPr>
              <w:pStyle w:val="TableContents"/>
              <w:bidi w:val="0"/>
              <w:spacing w:before="0" w:after="0"/>
              <w:jc w:val="both"/>
              <w:rPr>
                <w:rFonts w:ascii="Times New Roman" w:hAnsi="Times New Roman"/>
                <w:sz w:val="20"/>
              </w:rPr>
            </w:pPr>
            <w:r>
              <w:rPr>
                <w:rFonts w:ascii="Times New Roman" w:hAnsi="Times New Roman"/>
                <w:sz w:val="20"/>
              </w:rPr>
              <w:t xml:space="preserve">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fiscal year in the table is December 31, 2023.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(8)</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dollar amounts reported represent the amount of net loss attributable to common stockholders reflected in the Company’s audited financial statements for the applicable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Relationships Among Pay Versus Performance Measures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PEO and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Non-PEO</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NEOs Compensation Actually Paid and Company Total Shareholder Return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other NEOs, and the Company’s cumulative TSR over the two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4041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5800" cy="24041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TextBody"/>
        <w:bidi w:val="0"/>
        <w:spacing w:before="0" w:after="0"/>
        <w:jc w:val="center"/>
        <w:rPr>
          <w:rFonts w:ascii="Times New Roman" w:hAnsi="Times New Roman"/>
          <w:spacing w:val="0"/>
          <w:sz w:val="20"/>
        </w:rPr>
      </w:pPr>
      <w:r>
        <w:rPr>
          <w:rFonts w:ascii="Times New Roman" w:hAnsi="Times New Roman"/>
          <w:spacing w:val="0"/>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Between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PEO and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Non-PEO</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NEOs Compensation Actually Paid and Net Loss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 the average of Compensation </w:t>
      </w:r>
    </w:p>
    <w:p>
      <w:pPr>
        <w:pStyle w:val="TextBody"/>
        <w:bidi w:val="0"/>
        <w:spacing w:before="120" w:after="0"/>
        <w:jc w:val="both"/>
        <w:rPr>
          <w:rFonts w:ascii="Times New Roman" w:hAnsi="Times New Roman"/>
          <w:sz w:val="20"/>
        </w:rPr>
      </w:pPr>
      <w:r>
        <w:rPr>
          <w:rFonts w:ascii="Times New Roman" w:hAnsi="Times New Roman"/>
          <w:sz w:val="20"/>
        </w:rPr>
        <w:t xml:space="preserve">Actually </w:t>
      </w:r>
    </w:p>
    <w:p>
      <w:pPr>
        <w:pStyle w:val="TextBody"/>
        <w:bidi w:val="0"/>
        <w:spacing w:before="120" w:after="0"/>
        <w:jc w:val="both"/>
        <w:rPr>
          <w:rFonts w:ascii="Times New Roman" w:hAnsi="Times New Roman"/>
          <w:sz w:val="20"/>
        </w:rPr>
      </w:pPr>
      <w:r>
        <w:rPr>
          <w:rFonts w:ascii="Times New Roman" w:hAnsi="Times New Roman"/>
          <w:sz w:val="20"/>
        </w:rPr>
        <w:t xml:space="preserve">Paid to our other NEOs, and our net loss during each of the two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243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62625" cy="2438400"/>
                    </a:xfrm>
                    <a:prstGeom prst="rect">
                      <a:avLst/>
                    </a:prstGeom>
                  </pic:spPr>
                </pic:pic>
              </a:graphicData>
            </a:graphic>
          </wp:inline>
        </w:drawing>
      </w:r>
    </w:p>
    <w:p>
      <w:pPr>
        <w:pStyle w:val="TextBody"/>
        <w:bidi w:val="0"/>
        <w:spacing w:before="120" w:after="0"/>
        <w:jc w:val="both"/>
        <w:rPr>
          <w:rFonts w:ascii="Times New Roman" w:hAnsi="Times New Roman"/>
          <w:sz w:val="20"/>
        </w:rPr>
      </w:pPr>
      <w:r>
        <w:rPr>
          <w:rFonts w:ascii="Times New Roman" w:hAnsi="Times New Roman"/>
          <w:sz w:val="20"/>
        </w:rPr>
        <w:t xml:space="preserve">All information provided above under the “Pay Versus Performance” heading will not be </w:t>
      </w:r>
    </w:p>
    <w:p>
      <w:pPr>
        <w:pStyle w:val="TextBody"/>
        <w:bidi w:val="0"/>
        <w:spacing w:before="120" w:after="0"/>
        <w:jc w:val="both"/>
        <w:rPr>
          <w:rFonts w:ascii="Times New Roman" w:hAnsi="Times New Roman"/>
          <w:sz w:val="20"/>
        </w:rPr>
      </w:pPr>
      <w:r>
        <w:rPr>
          <w:rFonts w:ascii="Times New Roman" w:hAnsi="Times New Roman"/>
          <w:sz w:val="20"/>
        </w:rPr>
        <w:t xml:space="preserve">deemed </w:t>
      </w:r>
    </w:p>
    <w:p>
      <w:pPr>
        <w:pStyle w:val="TextBody"/>
        <w:bidi w:val="0"/>
        <w:spacing w:before="120" w:after="0"/>
        <w:jc w:val="both"/>
        <w:rPr>
          <w:rFonts w:ascii="Times New Roman" w:hAnsi="Times New Roman"/>
          <w:sz w:val="20"/>
        </w:rPr>
      </w:pPr>
      <w:r>
        <w:rPr>
          <w:rFonts w:ascii="Times New Roman" w:hAnsi="Times New Roman"/>
          <w:sz w:val="20"/>
        </w:rPr>
        <w:t xml:space="preserve">to be incorporated by reference into any filing of the Company under the Securities Act of 1933, as </w:t>
      </w:r>
    </w:p>
    <w:p>
      <w:pPr>
        <w:pStyle w:val="TextBody"/>
        <w:bidi w:val="0"/>
        <w:spacing w:before="120" w:after="0"/>
        <w:jc w:val="both"/>
        <w:rPr>
          <w:rFonts w:ascii="Times New Roman" w:hAnsi="Times New Roman"/>
          <w:spacing w:val="0"/>
          <w:sz w:val="20"/>
        </w:rPr>
      </w:pPr>
      <w:r>
        <w:rPr>
          <w:rFonts w:ascii="Times New Roman" w:hAnsi="Times New Roman"/>
          <w:spacing w:val="0"/>
          <w:sz w:val="20"/>
        </w:rPr>
        <w:t>amended</w:t>
      </w:r>
    </w:p>
    <w:p>
      <w:pPr>
        <w:pStyle w:val="TextBody"/>
        <w:bidi w:val="0"/>
        <w:spacing w:before="120" w:after="0"/>
        <w:jc w:val="both"/>
        <w:rPr>
          <w:rFonts w:ascii="Times New Roman" w:hAnsi="Times New Roman"/>
          <w:sz w:val="20"/>
        </w:rPr>
      </w:pPr>
      <w:r>
        <w:rPr>
          <w:rFonts w:ascii="Times New Roman" w:hAnsi="Times New Roman"/>
          <w:sz w:val="20"/>
        </w:rPr>
        <w:t xml:space="preserve">, or the Securities Exchange Act of 1934, as amended, whether made before or after the date hereof and irrespective of any general incorporation language in any such filing, except to the extent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Company </w:t>
      </w:r>
    </w:p>
    <w:p>
      <w:pPr>
        <w:pStyle w:val="TextBody"/>
        <w:bidi w:val="0"/>
        <w:spacing w:before="120" w:after="0"/>
        <w:jc w:val="both"/>
        <w:rPr>
          <w:rFonts w:ascii="Times New Roman" w:hAnsi="Times New Roman"/>
          <w:sz w:val="20"/>
        </w:rPr>
      </w:pPr>
      <w:r>
        <w:rPr>
          <w:rFonts w:ascii="Times New Roman" w:hAnsi="Times New Roman"/>
          <w:sz w:val="20"/>
        </w:rPr>
        <w:t xml:space="preserve">specifically incorporates such information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w:t>
      </w:r>
    </w:p>
    <w:p>
      <w:pPr>
        <w:pStyle w:val="TextBody"/>
        <w:bidi w:val="0"/>
        <w:spacing w:before="360" w:after="0"/>
        <w:jc w:val="left"/>
        <w:rPr>
          <w:rFonts w:ascii="Times New Roman" w:hAnsi="Times New Roman"/>
          <w:b/>
          <w:sz w:val="20"/>
        </w:rPr>
      </w:pPr>
      <w:r>
        <w:rPr>
          <w:rFonts w:ascii="Times New Roman" w:hAnsi="Times New Roman"/>
          <w:b/>
          <w:sz w:val="20"/>
        </w:rPr>
        <w:t xml:space="preserve">and Practices Related to the Grant of Certain Equity Awards Close in Time to the Release of Material Nonpublic Information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Company grants stock options to its employees, including the named executive officers. Historically, the Company has granted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both"/>
        <w:rPr>
          <w:rFonts w:ascii="Times New Roman" w:hAnsi="Times New Roman"/>
          <w:sz w:val="20"/>
        </w:rPr>
      </w:pPr>
      <w:r>
        <w:rPr>
          <w:rFonts w:ascii="Times New Roman" w:hAnsi="Times New Roman"/>
          <w:sz w:val="20"/>
        </w:rPr>
        <w:t xml:space="preserve">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both"/>
        <w:rPr>
          <w:rFonts w:ascii="Times New Roman" w:hAnsi="Times New Roman"/>
          <w:sz w:val="20"/>
        </w:rPr>
      </w:pPr>
      <w:r>
        <w:rPr>
          <w:rFonts w:ascii="Times New Roman" w:hAnsi="Times New Roman"/>
          <w:sz w:val="20"/>
        </w:rPr>
        <w:t xml:space="preserve">directors receive automatic grants of initial and annual stock option awards, at the time of a director’s initial appointment or election to the board and at the time of each annual meeting of the Company’s stockholders, respectively, pursuant to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both"/>
        <w:rPr>
          <w:rFonts w:ascii="Times New Roman" w:hAnsi="Times New Roman"/>
          <w:sz w:val="20"/>
        </w:rPr>
      </w:pPr>
      <w:r>
        <w:rPr>
          <w:rFonts w:ascii="Times New Roman" w:hAnsi="Times New Roman"/>
          <w:sz w:val="20"/>
        </w:rPr>
        <w:t xml:space="preserve">Director Compensation Policy, as further described under the heading, </w:t>
      </w:r>
    </w:p>
    <w:p>
      <w:pPr>
        <w:pStyle w:val="TextBody"/>
        <w:bidi w:val="0"/>
        <w:spacing w:before="120" w:after="0"/>
        <w:jc w:val="both"/>
        <w:rPr>
          <w:spacing w:val="0"/>
        </w:rPr>
      </w:pPr>
      <w:r>
        <w:rPr>
          <w:spacing w:val="0"/>
        </w:rPr>
        <w:t>“</w:t>
      </w:r>
      <w:r>
        <w:rPr>
          <w:rFonts w:ascii="Times New Roman" w:hAnsi="Times New Roman"/>
          <w:spacing w:val="0"/>
          <w:sz w:val="20"/>
        </w:rPr>
        <w:t>Non-Employee</w:t>
      </w:r>
    </w:p>
    <w:p>
      <w:pPr>
        <w:pStyle w:val="TextBody"/>
        <w:bidi w:val="0"/>
        <w:spacing w:before="120" w:after="0"/>
        <w:jc w:val="both"/>
        <w:rPr>
          <w:rFonts w:ascii="Times New Roman" w:hAnsi="Times New Roman"/>
          <w:sz w:val="20"/>
        </w:rPr>
      </w:pPr>
      <w:r>
        <w:rPr>
          <w:rFonts w:ascii="Times New Roman" w:hAnsi="Times New Roman"/>
          <w:sz w:val="20"/>
        </w:rPr>
        <w:t xml:space="preserve">Director Compensation” above.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28288_14"/>
      <w:bookmarkEnd w:id="16"/>
      <w:r>
        <w:rPr>
          <w:rFonts w:ascii="Times New Roman" w:hAnsi="Times New Roman"/>
          <w:b/>
          <w:sz w:val="20"/>
        </w:rPr>
        <w:t xml:space="preserve">PROPOSAL NO. 6: APPROVAL OF AN AMENDMENT TO OUR AMENDED AND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AS AMENDED, TO EFFECT A REVERSE STOCK SPLIT OF OUR COMMON STOCK AND A CORRESPONDING PROPORTIONATE AUTHORIZED SHARES REDUCTION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unanimously approved a series of alternate amendments to our Certificate of Incorporation, which would: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 a reverse stock split (“Reverse Stock Split”) of all issued and outstanding shares of our common stock, at a ratio ranging from 1-for-2 to 1-for-10, inclusive;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 a proportionate reduction in the total number of authorized shares of our common stock (the “Authorized Shares Reduction”)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Accordingly, effecting a Reverse Stock Split would reduce the number of outstanding shares of our common stock and the Authorized Shares Reduction would reduce the total number of authorized shares of our common stock. The effectiveness of any one of these amendments and the abandonment of the other amendments, or the abandonment of all of these amendments, will be determined by our Board of Directors following the Annual Meeting and prior to December 31, 2027. Our Board of Directors has recommended that these proposed amendments be presented to our stockholders for approval. </w:t>
      </w:r>
    </w:p>
    <w:p>
      <w:pPr>
        <w:pStyle w:val="TextBody"/>
        <w:bidi w:val="0"/>
        <w:spacing w:before="240" w:after="0"/>
        <w:jc w:val="both"/>
        <w:rPr>
          <w:rFonts w:ascii="Times New Roman" w:hAnsi="Times New Roman"/>
          <w:sz w:val="20"/>
        </w:rPr>
      </w:pPr>
      <w:r>
        <w:rPr>
          <w:rFonts w:ascii="Times New Roman" w:hAnsi="Times New Roman"/>
          <w:sz w:val="20"/>
        </w:rPr>
        <w:t xml:space="preserve">Our stockholders are being asked to approve these proposed amendments pursuant to Proposal No. 6, and to grant authorization to our Board of Directors to determine, in its discretion, whether to implement a Reverse Stock Split, including its specific timing and ratio, and the resulting corresponding proportionate Authorized Shares Reduction. The corresponding proportionate Authorized Shares Reduction was designed so that we do not have what some stockholders might view as an unreasonably high number of authorized shares of common stock that are unissued or reserved for issuance following the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Should we receive the required stockholder approvals for Proposal No. 6, our Board of Directors will have the sole authority to elect, at any time on or prior to December 31, 2027 and without the need for any further action on the part of our stockholders, whether to effect a Reverse Stock Split and the number of whole shares of our common stock, between and including 2 and 10, that will be combined into one share of our common stock and to effect the Authorized Shares Reduction.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approval of Proposal No. 6 by our stockholders, our Board of Directors may, at its sole option, abandon the proposed amendments and determine prior to the effectiveness of any filing with the Secretary of State of the State of Delaware not to effect any Reverse Stock Split or the resulting corresponding proportionate Authorized Shares Reduction, as permitted under Section 242(c) of the General Corporation Law of the State of Delaware. If our Board of Directors does not implement a Reverse Stock Split on or prior to December 31, 2027, stockholder approval would again be required prior to implementing any Reverse Stock Split and proportionate Authorized Shares Reduction. </w:t>
      </w:r>
    </w:p>
    <w:p>
      <w:pPr>
        <w:pStyle w:val="TextBody"/>
        <w:bidi w:val="0"/>
        <w:spacing w:before="240" w:after="0"/>
        <w:jc w:val="both"/>
        <w:rPr>
          <w:rFonts w:ascii="Times New Roman" w:hAnsi="Times New Roman"/>
          <w:sz w:val="20"/>
        </w:rPr>
      </w:pPr>
      <w:r>
        <w:rPr>
          <w:rFonts w:ascii="Times New Roman" w:hAnsi="Times New Roman"/>
          <w:sz w:val="20"/>
        </w:rPr>
        <w:t>By approving Proposal No. 6, our stockholders will: (a) approve a series of alternate amendments to our Certificate of Incorporation pursuant to which any whole number of outstanding shares of common stock between and including 2 and 10 could be combined into one share of common stock and the resulting corresponding proportionate Authorized Shares Reduction; and (b) authorize our Board of Directors to file only one such amendment, as determined by the Board at its sole option, and to abandon each amendment not selected by the Board. Our Board of Directors may also elect not to undertake any Reverse Stock Split or Authorized Shares Reduction and therefore abandon all amendments. The Board may effect only one Reverse Stock Split and Authorized Shares Reduction as a result of this authorization.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Approval of Reverse Stock Split and Authorized Shares Reduction of our Common Stock (Proposal No. 6)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adopted and is recommending that our stockholders approve a series of alternate amendments to our Certificate of Incorporation to effect a Reverse Stock Split, and the resulting corresponding proportionate Authorized Shares Reduction. The text of the proposed form of Certificate of Amendment to our Certificate of Incorporation, which we refer to as the Certificate of Amendment, is attached hereto as Appendix B. </w:t>
      </w:r>
    </w:p>
    <w:p>
      <w:pPr>
        <w:pStyle w:val="TextBody"/>
        <w:bidi w:val="0"/>
        <w:spacing w:before="240" w:after="0"/>
        <w:jc w:val="both"/>
        <w:rPr>
          <w:rFonts w:ascii="Times New Roman" w:hAnsi="Times New Roman"/>
          <w:sz w:val="20"/>
        </w:rPr>
      </w:pPr>
      <w:r>
        <w:rPr>
          <w:rFonts w:ascii="Times New Roman" w:hAnsi="Times New Roman"/>
          <w:sz w:val="20"/>
        </w:rPr>
        <w:t xml:space="preserve">We are proposing that our Board of Directors have the discretion to select the Reverse Stock Split ratio from within a range between and including 1-for-2 to 1-for-10,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and corresponding proportionate Authorized Shares Reduction, we will file the Certificate of Amendment with the Secretary of State of the State of Delaware and the Reverse Stock Split and Authorized Shares Reduction will be effective on the business day following the filing of the Certificate of Amendment with the Secretary of State of the State of Delaware, or such later time as is chosen by the Board and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Reverse Stock Split and Authorized Shares Reduction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currently listed on The Nasdaq Capital Market tier of Nasdaq. In order for our common stock to continue to be listed on The Nasdaq Capital Market, we must satisfy various listing maintenance standards established by Nasdaq. If we are unable to meet the applicable listing requirements, our common stock will be subject to delisting. Under Nasdaq’s continued listing requirements, if the closing bid price of our common stock is under $1.00 per share for 30 consecutive business days and does not thereafter reach $1.00 per share or higher for a minimum of 10 consecutive business days during the 180 calendar days following notification by Nasdaq, our common stock would be subject to delisting by Nasdaq. </w:t>
      </w:r>
    </w:p>
    <w:p>
      <w:pPr>
        <w:pStyle w:val="TextBody"/>
        <w:bidi w:val="0"/>
        <w:spacing w:before="240" w:after="0"/>
        <w:jc w:val="both"/>
        <w:rPr>
          <w:rFonts w:ascii="Times New Roman" w:hAnsi="Times New Roman"/>
          <w:sz w:val="20"/>
        </w:rPr>
      </w:pPr>
      <w:r>
        <w:rPr>
          <w:rFonts w:ascii="Times New Roman" w:hAnsi="Times New Roman"/>
          <w:sz w:val="20"/>
        </w:rPr>
        <w:t xml:space="preserve">As previously reported, on March 16, 2026, we received a letter from Nasdaq that the Company was not in compliance with Nasdaq Listing Rule 5550(a)(2), as the minimum bid price of our common stock had been below $1.00 per share for 30 consecutive business days (the “Minimum Bid Price Requirement”). </w:t>
      </w:r>
    </w:p>
    <w:p>
      <w:pPr>
        <w:pStyle w:val="TextBody"/>
        <w:bidi w:val="0"/>
        <w:spacing w:before="240" w:after="0"/>
        <w:jc w:val="both"/>
        <w:rPr>
          <w:rFonts w:ascii="Times New Roman" w:hAnsi="Times New Roman"/>
          <w:sz w:val="20"/>
        </w:rPr>
      </w:pPr>
      <w:r>
        <w:rPr>
          <w:rFonts w:ascii="Times New Roman" w:hAnsi="Times New Roman"/>
          <w:sz w:val="20"/>
        </w:rPr>
        <w:t xml:space="preserve">Under Nasdaq Listing Rule 5810(c)(3)(A), we have 180 calendar days following the date of the notice, or until September 14, 2026, to regain compliance with the Minimum Bid Price Requirement. To regain compliance, the minimum bid price of our common stock must meet or exceed $1.00 per share for a minimum of 10 consecutive business days during this 180-day grace period. In the event we do not regain compliance with the Minimum Bid Price Requirement by September 14, 2026, we may be eligible for an additional 180 calendar day compliance period if, on the last day of the initial compliance period, we meet the market value of publicly held shares requirement for continued listing as well as all other standards for initial listing of our common stock on The Nasdaq Capital Market, with the exception of the Minimum Bid Price Requirement, and we provide Nasdaq written notice of our intention to cure the bid price deficiency during the second compliance period. If we do not indicate our intent to cure the deficiency, or if it appears to Nasdaq that it is not possible for us to cure the deficiency, we will not be eligible for the second compliance period.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Board has adopted resolutions, subject to approval by our stockholders, to amend our Certificate of Incorporation to effect the Reverse Stock Split at a ratio in the range of 1-for-2 to 1-for-10 with such ratio to be determined in the discretion of the Board. These resolutions were approved as a means of regaining compliance with the Minimum Bid Price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Board’s primary objective in proposing the Reverse Stock Split is to raise the per share trading price of our common stock. The Board believes that the Reverse Stock Split will result in a higher per share trading price, which is intended to enable us to maintain the listing of our common stock on The Nasdaq Capital Market and generate greater investor interest in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Board believes that maintaining the listing of our common stock on The Nasdaq Capital Market is in the best interests of the Company and its stockholders. If our common stock were to be delisted from The Nasdaq Capital Market, the Board believes that such delisting could adversely affect the market liquidity of our common stock, decrease the market price of our common stock, adversely affect our ability to obtain financing for the continuation of our operations and result in the loss of confidence in the Company. </w:t>
      </w:r>
    </w:p>
    <w:p>
      <w:pPr>
        <w:pStyle w:val="TextBody"/>
        <w:bidi w:val="0"/>
        <w:spacing w:before="240" w:after="0"/>
        <w:jc w:val="both"/>
        <w:rPr>
          <w:rFonts w:ascii="Times New Roman" w:hAnsi="Times New Roman"/>
          <w:sz w:val="20"/>
        </w:rPr>
      </w:pPr>
      <w:r>
        <w:rPr>
          <w:rFonts w:ascii="Times New Roman" w:hAnsi="Times New Roman"/>
          <w:sz w:val="20"/>
        </w:rPr>
        <w:t xml:space="preserve">If the Reverse Stock Split is approved by our stockholders and implemented by the Board, we expect to satisfy the $1.00 per share Minimum Bid Price Requirement for continued listing on The Nasdaq Capital Market. However, despite the approval of the Reverse Stock Split by our stockholders and implementation by the Board, there can be no assurance that the Reverse Stock Split will result in our meeting and maintaining the $1.00 Minimum Bid Price Requirement. </w:t>
      </w:r>
    </w:p>
    <w:p>
      <w:pPr>
        <w:pStyle w:val="TextBody"/>
        <w:bidi w:val="0"/>
        <w:spacing w:before="240" w:after="0"/>
        <w:jc w:val="both"/>
        <w:rPr>
          <w:rFonts w:ascii="Times New Roman" w:hAnsi="Times New Roman"/>
          <w:sz w:val="20"/>
        </w:rPr>
      </w:pPr>
      <w:r>
        <w:rPr>
          <w:rFonts w:ascii="Times New Roman" w:hAnsi="Times New Roman"/>
          <w:sz w:val="20"/>
        </w:rPr>
        <w:t xml:space="preserve">As a matter of Delaware law, the implementation of a Reverse Stock Split does not require a reduction in the total number of authorized shares of our common stock. The corresponding proportionate Authorized Shares Reduction was designed so that we do not have what some stockholders might view as an unreasonably high number of authorized shares of common stock that are unissued or reserved for issuance following the Reverse Stock Split. In addition, by reducing the number of authorized shares of our common stock, we expect our Delaware annual franchise taxes to decrease. Accordingly, the Board has adopted resolutions, subject to approval by our stockholders, to amend our Certificate of Incorporation to effect the Authorized Shares Reduction in proportion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Criteria to be Used for Determining Whether to Implement Reverse Stock Split and Authorized Shares Reduction </w:t>
      </w:r>
    </w:p>
    <w:p>
      <w:pPr>
        <w:pStyle w:val="TextBody"/>
        <w:bidi w:val="0"/>
        <w:spacing w:before="120" w:after="0"/>
        <w:jc w:val="both"/>
        <w:rPr>
          <w:rFonts w:ascii="Times New Roman" w:hAnsi="Times New Roman"/>
          <w:sz w:val="20"/>
        </w:rPr>
      </w:pPr>
      <w:r>
        <w:rPr>
          <w:rFonts w:ascii="Times New Roman" w:hAnsi="Times New Roman"/>
          <w:sz w:val="20"/>
        </w:rPr>
        <w:t xml:space="preserve">In determining whether to implement the Reverse Stock Split and which Reverse Stock Split ratio to implement, if any, and the corresponding proportionate Authorized Shares Reduction, following receipt of stockholder approval of Proposal No. 6, our Board of Directors may consider, among other things, various factors, such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whether we have regained compliance with the Minimum Bid Price Requirement prior to September 14, 2026 without effecting a Reverse Stock Split;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historical trading price and trading volume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then-prevailing trading price and trading volume of our common stock and the expected impact of the Reverse Stock Split and Authorized Shares Reduction on the trading market for our common stock in the short- and long-term;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maintain our listing on The Nasdaq Capital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which Reverse Stock Split ratio and corresponding Authorized Shares Reduction would result in the least administrative cost to us;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prevailing general market and economic conditions;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whether and when our Board of Directors desires to use the shares of our common stock that remain authorized and available for issuance following the Reverse Stock Split and Authorized Shares Reduction for business and/or financial purposes, as well as to accommodate the shares of our common stock to be authorized and reserved for future equity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Risks and Potential Disadvantages Associated with Reverse Stock Split and Authorized Shares Reduction </w:t>
      </w:r>
    </w:p>
    <w:p>
      <w:pPr>
        <w:pStyle w:val="TextBody"/>
        <w:bidi w:val="0"/>
        <w:spacing w:before="120" w:after="0"/>
        <w:jc w:val="both"/>
        <w:rPr>
          <w:rFonts w:ascii="Times New Roman" w:hAnsi="Times New Roman"/>
          <w:sz w:val="20"/>
        </w:rPr>
      </w:pPr>
      <w:r>
        <w:rPr>
          <w:rFonts w:ascii="Times New Roman" w:hAnsi="Times New Roman"/>
          <w:i/>
          <w:sz w:val="20"/>
        </w:rPr>
        <w:t>We cannot assure you that the proposed Reverse Stock Split will increase our stock price for a sustained period and, if applicable, have the desired effect of regaining and/or maintaining compliance with Nasdaq Marketplace Rules.</w:t>
      </w:r>
      <w:r>
        <w:rPr>
          <w:rFonts w:ascii="Times New Roman" w:hAnsi="Times New Roman"/>
          <w:sz w:val="20"/>
        </w:rPr>
        <w:t xml:space="preserve">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 Despite the approval of the Reverse Stock Split by our stockholders and implementation by the Board, there can be no assurance that the Reverse Stock Split will result in our meeting and maintaining the $1.00 Minimum Bid Price Requirement. Additionally, even if we regain compliance with the Minimum Bid Price Requirement, we may be delisted due to a failure to meet other continued listing requirements or a subsequent failure to meet the Minimum Bid Price Requirement, including Nasdaq requirements related to the minimum number of shares that must be in the public float, the minimum market value of the public float and the minimum number of “round lot” holders. </w:t>
      </w:r>
    </w:p>
    <w:p>
      <w:pPr>
        <w:pStyle w:val="TextBody"/>
        <w:bidi w:val="0"/>
        <w:spacing w:before="240" w:after="0"/>
        <w:jc w:val="both"/>
        <w:rPr>
          <w:rFonts w:ascii="Times New Roman" w:hAnsi="Times New Roman"/>
          <w:sz w:val="20"/>
        </w:rPr>
      </w:pPr>
      <w:r>
        <w:rPr>
          <w:rFonts w:ascii="Times New Roman" w:hAnsi="Times New Roman"/>
          <w:i/>
          <w:sz w:val="20"/>
        </w:rPr>
        <w:t xml:space="preserve">The failure of our stockholders to approve the proposed Reverse Stock Split could result in the delisting of our common stock from The Nasdaq Capital Market. </w:t>
      </w:r>
      <w:r>
        <w:rPr>
          <w:rFonts w:ascii="Times New Roman" w:hAnsi="Times New Roman"/>
          <w:sz w:val="20"/>
        </w:rPr>
        <w:t xml:space="preserve">If we do not regain compliance with the Minimum Bid Price Requirement prior to September 14, 2026 and we are not eligible for an additional 180 calendar day compliance period, or fail to regain compliance within such additional compliance period, the shares of our common stock would be delisted from The Nasdaq Capital Market. If our common stock is delisted from The Nasdaq Capital Market, our shares may then trade on the OTC Bulletin Board or other small trading markets, such as the pink sheets. In that event, the common stock could trade thinly as a microcap or penny stock, adversely decrease to nominal levels of trading and be avoided by retail and institutional investors, resulting in impaired liquidity of our shares, which may adversely affect our ability to obtain financing for the continuation of our operations and result in the loss of confidence in the Company. </w:t>
      </w:r>
    </w:p>
    <w:p>
      <w:pPr>
        <w:pStyle w:val="TextBody"/>
        <w:bidi w:val="0"/>
        <w:spacing w:before="240" w:after="0"/>
        <w:jc w:val="both"/>
        <w:rPr>
          <w:rFonts w:ascii="Times New Roman" w:hAnsi="Times New Roman"/>
          <w:sz w:val="20"/>
        </w:rPr>
      </w:pPr>
      <w:r>
        <w:rPr>
          <w:rFonts w:ascii="Times New Roman" w:hAnsi="Times New Roman"/>
          <w:i/>
          <w:sz w:val="20"/>
        </w:rPr>
        <w:t>The proposed Reverse Stock Split may decrease the liquidity of our common stock and result in higher transaction costs</w:t>
      </w:r>
      <w:r>
        <w:rPr>
          <w:rFonts w:ascii="Times New Roman" w:hAnsi="Times New Roman"/>
          <w:sz w:val="20"/>
        </w:rPr>
        <w:t xml:space="preserve">. The liquidity of our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 </w:t>
      </w:r>
    </w:p>
    <w:p>
      <w:pPr>
        <w:pStyle w:val="TextBody"/>
        <w:bidi w:val="0"/>
        <w:spacing w:before="240" w:after="0"/>
        <w:jc w:val="both"/>
        <w:rPr>
          <w:rFonts w:ascii="Times New Roman" w:hAnsi="Times New Roman"/>
          <w:sz w:val="20"/>
        </w:rPr>
      </w:pPr>
      <w:r>
        <w:rPr>
          <w:rFonts w:ascii="Times New Roman" w:hAnsi="Times New Roman"/>
          <w:i/>
          <w:sz w:val="20"/>
        </w:rPr>
        <w:t>The Authorized Shares Reduction will reduce, but not eliminate, the number of authorized shares of our common stock available for future issuance, which may have anti-takeover implications</w:t>
      </w:r>
      <w:r>
        <w:rPr>
          <w:rFonts w:ascii="Times New Roman" w:hAnsi="Times New Roman"/>
          <w:sz w:val="20"/>
        </w:rPr>
        <w:t xml:space="preserve"> </w:t>
      </w:r>
      <w:r>
        <w:rPr>
          <w:rFonts w:ascii="Times New Roman" w:hAnsi="Times New Roman"/>
          <w:i/>
          <w:sz w:val="20"/>
        </w:rPr>
        <w:t>in certain circumstances</w:t>
      </w:r>
      <w:r>
        <w:rPr>
          <w:rFonts w:ascii="Times New Roman" w:hAnsi="Times New Roman"/>
          <w:sz w:val="20"/>
        </w:rPr>
        <w:t xml:space="preserve">. The implementation of a Reverse Stock Split combined with the Authorized Shares Reduction will result in a proportionate reduction in the total number of authorized shares of our common stock available for issuance. Notwithstanding the Authorized Shares Reduction, any authorized but unissued shares of our common stock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remain available for issuance following the Reverse Stock Split and Authorized Shares Reduction could, under certain circumstances, have anti-takeover implications. Such shares could be used by us to oppose a hostile takeover attempt or to delay or prevent changes in control or our management. For example, without further stockholder approval, the Board could adopt a “poison pill” which would, under certain circumstances 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No. 6 has been prompted by business and financial considerations and not by the threat of any hostile takeover attempt (nor is the Board currently aware of any such attempts directed at us), stockholders should be aware that approval of this Proposal No. 6 could facilitate future efforts by us to deter or prevent changes in control, including transactions in which the stockholders might otherwise receive a premium for their shares over then current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Reverse Stock Split and Authorized Shares Reduction on Outstanding Common Stock and Authorized Common Stock </w:t>
      </w:r>
    </w:p>
    <w:p>
      <w:pPr>
        <w:pStyle w:val="TextBody"/>
        <w:bidi w:val="0"/>
        <w:spacing w:before="120" w:after="0"/>
        <w:jc w:val="both"/>
        <w:rPr>
          <w:rFonts w:ascii="Times New Roman" w:hAnsi="Times New Roman"/>
          <w:sz w:val="20"/>
        </w:rPr>
      </w:pPr>
      <w:r>
        <w:rPr>
          <w:rFonts w:ascii="Times New Roman" w:hAnsi="Times New Roman"/>
          <w:sz w:val="20"/>
        </w:rPr>
        <w:t xml:space="preserve">After the effective date of any Reverse Stock Split and Authorized Shares Reduction that our Board of Directors elects to implement, each stockholder will own a reduced number of shares of common stock. However, any Reverse Stock Split will affect all of our stockholders uniformly and will not affect any stockholder’s percentage ownership interests in CalciMedica,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or Authorized Shares Reduction (except to the extent that any stockholder holds only a fractional share interest and receives cash for such interest after such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The principal effects of a Reverse Stock Split will be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depending on the Reverse Stock Split ratio selected by the Board, each 2 to 10 shares of our common stock owned by a stockholder will be combined into one new share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upon the Reverse Stock Split ratio selected by the Board, proportionate adjustments will be made to the per share exercise price and/or the number of shares issuable upon the exercise or vesting of all then outstanding stock options, restricted stock units and warrants (including the Series A Warrants and Series B Warrants described in Proposal No. 7, if approved for issuance),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then reserved for issuance under our equity compensation plans will be reduced proportionately based upon the Reverse Stock Split ratio selected by the Board.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contains approximate information, based on share information as of July 9, 2026, relating to our authorized and outstanding common stock based on illustrative Reverse Stock Split ratios of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1:6 and 1:10 (without giving effect to the treatment of fractional shares) and information regarding our authorized shares based on the corresponding proportionate Authorized Shares Reduction: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2495"/>
        <w:gridCol w:w="60"/>
        <w:gridCol w:w="74"/>
        <w:gridCol w:w="1521"/>
        <w:gridCol w:w="60"/>
        <w:gridCol w:w="60"/>
        <w:gridCol w:w="82"/>
        <w:gridCol w:w="1513"/>
        <w:gridCol w:w="60"/>
        <w:gridCol w:w="60"/>
        <w:gridCol w:w="82"/>
        <w:gridCol w:w="1513"/>
        <w:gridCol w:w="60"/>
        <w:gridCol w:w="60"/>
        <w:gridCol w:w="77"/>
        <w:gridCol w:w="1578"/>
        <w:gridCol w:w="75"/>
      </w:tblGrid>
      <w:tr>
        <w:trPr/>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Status</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Reserved for</w:t>
              <w:br/>
              <w:t>Future</w:t>
              <w:br/>
              <w:t>Issuance(1)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 Stock</w:t>
              <w:br/>
              <w:t>Authorized</w:t>
              <w:br/>
              <w:t>but Unissued</w:t>
              <w:br/>
              <w:t>and Unreserved</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Pre-Reverse Stock Split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500,000,000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30,736,401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47,147,162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pPr>
            <w:r>
              <w:rPr/>
              <w:t>422,116,437</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 2</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250,000,000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15,368,200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23,573,581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578" w:type="dxa"/>
            <w:tcBorders/>
            <w:vAlign w:val="center"/>
          </w:tcPr>
          <w:p>
            <w:pPr>
              <w:pStyle w:val="TableContents"/>
              <w:bidi w:val="0"/>
              <w:spacing w:before="0" w:after="283"/>
              <w:jc w:val="right"/>
              <w:rPr/>
            </w:pPr>
            <w:r>
              <w:rPr/>
              <w:t>211,058,219</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 6</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83,333,333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5,122,733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7,857,860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pPr>
            <w:r>
              <w:rPr/>
              <w:t>70,352,740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Post-Reverse Stock Split 1: 10</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50,000,000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3,073,640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4,714,716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578" w:type="dxa"/>
            <w:tcBorders/>
            <w:vAlign w:val="center"/>
          </w:tcPr>
          <w:p>
            <w:pPr>
              <w:pStyle w:val="TableContents"/>
              <w:bidi w:val="0"/>
              <w:spacing w:before="0" w:after="283"/>
              <w:jc w:val="right"/>
              <w:rPr/>
            </w:pPr>
            <w:r>
              <w:rPr/>
              <w:t>42,211,644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shares of common stock reserved for issuance pursuant to the Series A Warrants and Series B Warrants described in Proposal No. 7.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principal effect of the Authorized Shares Reduction will be that the total number of authorized shares of our common stock will be reduced, proportionate to the Reverse Stock Split ratio selected by the Board, if and when a Reverse Stock Split is implemented. As set forth in the table above, if a Reverse Stock Split is implemented at a ratio of 1-for-2, the total number of authorized shares of our common stock would be reduced from 500,000,000 to 250,000,000; at a ratio of 1-for-6, it would be reduced to approximately 83,333,333; and at a ratio of 1-for-10, it would be reduced to 50,000,000. </w:t>
      </w:r>
    </w:p>
    <w:p>
      <w:pPr>
        <w:pStyle w:val="TextBody"/>
        <w:bidi w:val="0"/>
        <w:spacing w:before="240" w:after="0"/>
        <w:jc w:val="both"/>
        <w:rPr>
          <w:rFonts w:ascii="Times New Roman" w:hAnsi="Times New Roman"/>
          <w:sz w:val="20"/>
        </w:rPr>
      </w:pPr>
      <w:r>
        <w:rPr>
          <w:rFonts w:ascii="Times New Roman" w:hAnsi="Times New Roman"/>
          <w:sz w:val="20"/>
        </w:rPr>
        <w:t xml:space="preserve">The Authorized Shares Reduction would not have any effect on the rights of existing stockholders, and the par value of the common stock would remain unchanged at $0.0001 per share. The Authorized Shares Reduction will take effect at the same time as the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After the effective date of any Reverse Stock Split that our Board of Directors elects to implement, our common stock would have a new committee on uniform securities identification procedures (CUSIP) number, a number used to identify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currently registered under Section 12(b) of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“CALC” immediately following the Reverse Stock Split, although it is likely that Nasdaq would add the letter “D” to the end of the trading symbol for a period of twenty trading days after the effective date of the Reverse Stock Split to indicate that the Reverse Stock Split had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Date </w:t>
      </w:r>
    </w:p>
    <w:p>
      <w:pPr>
        <w:pStyle w:val="TextBody"/>
        <w:bidi w:val="0"/>
        <w:spacing w:before="120" w:after="0"/>
        <w:jc w:val="both"/>
        <w:rPr>
          <w:rFonts w:ascii="Times New Roman" w:hAnsi="Times New Roman"/>
          <w:sz w:val="20"/>
        </w:rPr>
      </w:pPr>
      <w:r>
        <w:rPr>
          <w:rFonts w:ascii="Times New Roman" w:hAnsi="Times New Roman"/>
          <w:sz w:val="20"/>
        </w:rPr>
        <w:t xml:space="preserve">The proposed Reverse Stock Split and corresponding proportionate Authorized Shares Reduction would become effective at 5:00 p.m., Eastern Time, on the business day following the filing of a Certificate of Amendment with the office of the Secretary of State of the State of Delaware, or such later date as is chosen by the Board and set forth in the Certificate of Amendment, which date we refer to in this Proposal No. 6 as the Effective Date. Except as explained below with respect to fractional shares, effective as of 5:00 p.m., Eastern Time, on the Effective Date,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No. 6. </w:t>
      </w:r>
    </w:p>
    <w:p>
      <w:pPr>
        <w:pStyle w:val="TextBody"/>
        <w:bidi w:val="0"/>
        <w:spacing w:before="360" w:after="0"/>
        <w:jc w:val="left"/>
        <w:rPr>
          <w:rFonts w:ascii="Times New Roman" w:hAnsi="Times New Roman"/>
          <w:b/>
          <w:sz w:val="20"/>
        </w:rPr>
      </w:pPr>
      <w:r>
        <w:rPr>
          <w:rFonts w:ascii="Times New Roman" w:hAnsi="Times New Roman"/>
          <w:b/>
          <w:sz w:val="20"/>
        </w:rPr>
        <w:t xml:space="preserve">Cash Payment In Lieu of Fractional Shares </w:t>
      </w:r>
    </w:p>
    <w:p>
      <w:pPr>
        <w:pStyle w:val="TextBody"/>
        <w:bidi w:val="0"/>
        <w:spacing w:before="120" w:after="0"/>
        <w:jc w:val="both"/>
        <w:rPr>
          <w:rFonts w:ascii="Times New Roman" w:hAnsi="Times New Roman"/>
          <w:sz w:val="20"/>
        </w:rPr>
      </w:pPr>
      <w:r>
        <w:rPr>
          <w:rFonts w:ascii="Times New Roman" w:hAnsi="Times New Roman"/>
          <w:sz w:val="20"/>
        </w:rPr>
        <w:t xml:space="preserve">No fractional shares of common stock will be issued as a result of any Reverse Stock Split. Instead, in lieu of any fractional shares to which a stockholder of record would otherwise be entitled as a result of the 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 Split, CalciMedica will pay cash (without interest) equal to such fraction multiplied by the average of the closing sales prices of the common stock on The Nasdaq Capital Market during regular trading hours for the five consecutive trading days immediately preceding the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As of July 9, 2026, there were 76 stockholders of record of our common stock. Upon stockholder approval of this Proposal No. 6,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5 shares of common stock immediately prior to the Reverse Stock Split and the Reverse Stock Split ratio selected by the Board was 1-for-6, then such stockholder would cease to be a stockholder of CalciMedica following the Reverse Stock Split and would not have any voting, dividend or other rights except to receive payment for the fractional share as described above. Based on our stockholders of record as of July 9, 2026, and assuming a Reverse Stock Split ratio of 1-for-5, we do not expect that cashing out fractional stockholders will reduce the number of stockholders of record. In addition, we do not intend for this transaction to be the first step in a series of plans or proposals of a “going private transaction” within the meaning of Rule 13e-3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Record and Beneficial 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6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 </w:t>
      </w:r>
    </w:p>
    <w:p>
      <w:pPr>
        <w:pStyle w:val="TextBody"/>
        <w:bidi w:val="0"/>
        <w:spacing w:before="240" w:after="0"/>
        <w:jc w:val="both"/>
        <w:rPr>
          <w:rFonts w:ascii="Times New Roman" w:hAnsi="Times New Roman"/>
          <w:sz w:val="20"/>
        </w:rPr>
      </w:pPr>
      <w:r>
        <w:rPr>
          <w:rFonts w:ascii="Times New Roman" w:hAnsi="Times New Roman"/>
          <w:sz w:val="20"/>
        </w:rPr>
        <w:t xml:space="preserve">If this Proposal No. 6 is approved by our stockholders and our Board of Directors elects to implement a Reverse Stock Split, stockholders of record holding some or all of their shares in certificate form will receive a letter of transmittal from CalciMedica or its exchange agent, as soon as practicable after the Effective Date.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until such stockholder has surrendered such stockholder’s outstanding certificate(s) together with the properly completed and executed letter of transmittal to the exchange agent. </w:t>
      </w:r>
    </w:p>
    <w:p>
      <w:pPr>
        <w:pStyle w:val="TextBody"/>
        <w:bidi w:val="0"/>
        <w:spacing w:before="240" w:after="0"/>
        <w:jc w:val="both"/>
        <w:rPr>
          <w:rFonts w:ascii="Times New Roman" w:hAnsi="Times New Roman"/>
          <w:b/>
          <w:sz w:val="20"/>
        </w:rPr>
      </w:pPr>
      <w:r>
        <w:rPr>
          <w:rFonts w:ascii="Times New Roman" w:hAnsi="Times New Roman"/>
          <w:b/>
          <w:sz w:val="20"/>
        </w:rPr>
        <w:t xml:space="preserve">STOCKHOLDERS SHOULD NOT DESTROY ANY PRE-SPLIT STOCK CERTIFICATE AND SHOULD NOT SUBMIT ANY CERTIFICATES UNTIL THEY ARE REQUESTED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par value per share of our common stock would remain unchanged at $0.0001 per share after any Reverse Stock Split. As a result, on the Effective Date, the stated capital on our balance sheet attributable to the common stock would be reduced proportionally, based on the actual Reverse Stock Split ratio, from its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amount, and the additional paid-in capital account would be credited with the amount by which the stated capital would be reduced. The total number of authorized shares of our common stock would also be proportionately reduced pursuant to the Authorized Shares Reduction, with the par value per share remaining unchanged. The net income or loss per share of common stock would be increased because there would be fewer shares of common stock outstanding. The Reverse Stock Split and Authorized Shares Reduction would be reflected retroactively in our financial statements. We do not anticipate that any other accounting consequences would arise as a result of any Reverse Stock Split and Authorized Shares Reduction.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both"/>
        <w:rPr>
          <w:rFonts w:ascii="Times New Roman" w:hAnsi="Times New Roman"/>
          <w:sz w:val="20"/>
        </w:rPr>
      </w:pPr>
      <w:r>
        <w:rPr>
          <w:rFonts w:ascii="Times New Roman" w:hAnsi="Times New Roman"/>
          <w:sz w:val="20"/>
        </w:rPr>
        <w:t xml:space="preserve">Our stockholders are not entitled to dissenters’ or appraisal rights under the General Corporation Law of the State of Delaware with respect to the proposed alternate amendments to our Certificate of Incorporation to allow for a Reverse Stock Split and corresponding Authorized Shares Reduction.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of the Reverse Stock Split to U.S. Holders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summary of certain material U.S. federal income tax consequences of the Reverse Stock Split that are generally expected to be applicable to U.S. Holders (as defined below) that hold their shares of common stock as capital assets within the meaning of Section 1221 of the U.S. Internal Revenue Code of 1986, as amended (the “Code”) (generally property held for investment). This summary is based upon the provisions of the Code, Treasury regulations promulgated thereunder, administrative rulings and practices of the Internal Revenue Service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This summary, except for the discussion under “Information Reporting and Backup Withholding” below, is limited to stockholders who are U.S. Holders (as defined below). </w:t>
      </w:r>
    </w:p>
    <w:p>
      <w:pPr>
        <w:pStyle w:val="TextBody"/>
        <w:bidi w:val="0"/>
        <w:spacing w:before="240" w:after="0"/>
        <w:jc w:val="both"/>
        <w:rPr>
          <w:rFonts w:ascii="Times New Roman" w:hAnsi="Times New Roman"/>
          <w:sz w:val="20"/>
        </w:rPr>
      </w:pPr>
      <w:r>
        <w:rPr>
          <w:rFonts w:ascii="Times New Roman" w:hAnsi="Times New Roman"/>
          <w:sz w:val="20"/>
        </w:rPr>
        <w:t xml:space="preserve">This summary is for general information purposes only and does not address all aspects of U.S. federal income taxation that may be relevant to U.S. Holders in light of their particular circumstances or to U.S. Holders that may be subject to special tax rules, including, without limitation: (i) banks, insurance companies, or other financial institutions; (ii) governmental organizations or tax-exempt organizations; (iii) dealers in securities or commodities; (iv) regulated investment companies or real estate investment trusts; (v) partnerships (including entities or arrangements treated as partnerships for U.S. federal income tax purposes and their partners or members); (vi) traders in securities that elect to use the mark-to-market method of accounting; (vii) persons whose “functional currency” is not the U.S. dollar; (viii) persons holding our common stock in a hedging transaction, “straddle,” “conversion transaction” or other risk reduction transaction; (ix) persons who hold our common stock as “qualified small business stock” within the meaning of Section 1202 of the Code or Section 1244 stock for purpose of Section 1244 of the Code; (x) persons who acquired their stock in a transaction subject to the gain rollover provisions of Section 1045 of the Code; (xi) persons who acquired our common stock in connection with the exercise of employee stock options or otherwise as compensation for the performance of services; (xii) retirement plans; (xiii) persons who are not treated as U.S. Holders for U.S. federal income tax purposes; or (xiv) certain former citizens or long-term residents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Medicare contribution tax on net investment income, any alternative minimum tax, or the special tax accounting rules under Section 451(b) of the Code; or (e) tax consequences to holders of options, warrants or similar rights to acquire our common stock. No ruling from the IRS, or opinion of counsel, has been or will be requested in connection with the Reverse Stock Split. Stockholders should be aware that the IRS could adopt a position which could be sustained by a court contrary to that set forth in this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Accordingly, each stockholder should consult with such stockholder’s own tax advisor with respect to all of the potential tax consequences to such stockholder of the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or someone treated as a U.S. citizen or resident for U.S. federal income tax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shares of our common stock, the tax treatment of a partner in the partnership generally will depend upon the status of the partner and the activities of the partnership. Partnerships holding our common stock and the partners therein should consult their tax advisors regarding the tax consequences to them of the Reverse Stock Split. </w:t>
      </w:r>
    </w:p>
    <w:p>
      <w:pPr>
        <w:pStyle w:val="TextBody"/>
        <w:bidi w:val="0"/>
        <w:spacing w:before="240" w:after="0"/>
        <w:jc w:val="both"/>
        <w:rPr>
          <w:rFonts w:ascii="Times New Roman" w:hAnsi="Times New Roman"/>
          <w:b/>
          <w:sz w:val="20"/>
        </w:rPr>
      </w:pPr>
      <w:r>
        <w:rPr>
          <w:rFonts w:ascii="Times New Roman" w:hAnsi="Times New Roman"/>
          <w:b/>
          <w:sz w:val="20"/>
        </w:rPr>
        <w:t xml:space="preserve">EACH U.S. HOLDER SHOULD CONSULT ITS TAX ADVISORS WITH RESPECT TO THE PARTICULAR TAX CONSEQUENCES OF THE REVERSE STOCK SPLIT TO SUCH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U.S. Holders </w:t>
      </w:r>
    </w:p>
    <w:p>
      <w:pPr>
        <w:pStyle w:val="TextBody"/>
        <w:bidi w:val="0"/>
        <w:spacing w:before="120" w:after="0"/>
        <w:jc w:val="both"/>
        <w:rPr>
          <w:rFonts w:ascii="Times New Roman" w:hAnsi="Times New Roman"/>
          <w:sz w:val="20"/>
        </w:rPr>
      </w:pPr>
      <w:r>
        <w:rPr>
          <w:rFonts w:ascii="Times New Roman" w:hAnsi="Times New Roman"/>
          <w:sz w:val="20"/>
        </w:rPr>
        <w:t xml:space="preserve">The Reverse Stock Split should constitute a “recapitalization” for U.S. federal income tax purposes. As a recapitalization, except as described below with respect to cash received in lieu of fractional shares, a U.S. Holder should not recognize gain or loss as a result of the Reverse Stock Split. With respect to any U.S. Holder who receives solely a reduced number of shares of common stock (i.e., no cash in lieu of a fractional share) as a result of the Reverse Stock Split, such U.S. Holder’s aggregate tax basis in the shares of the common stock received pursuant to the Reverse Stock Split should equal the U.S. Holder’s aggregate tax basis in the shares of the common stock surrendered,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or at different prices should consult their tax advisors regarding the allocation of the tax basis and holding period of such shares. </w:t>
      </w:r>
    </w:p>
    <w:p>
      <w:pPr>
        <w:pStyle w:val="TextBody"/>
        <w:bidi w:val="0"/>
        <w:spacing w:before="240" w:after="0"/>
        <w:jc w:val="both"/>
        <w:rPr>
          <w:rFonts w:ascii="Times New Roman" w:hAnsi="Times New Roman"/>
          <w:sz w:val="20"/>
        </w:rPr>
      </w:pPr>
      <w:r>
        <w:rPr>
          <w:rFonts w:ascii="Times New Roman" w:hAnsi="Times New Roman"/>
          <w:sz w:val="20"/>
        </w:rPr>
        <w:t xml:space="preserve">A U.S. Holder who receives cash in lieu of a fractional share of common stock pursuant to the Reverse Stock Split generally should recognize capital gain or loss in an amount equal to the difference, if any, between the amount of cash received and the portion of the U.S. Holder’s tax basis in the shares of common stock surrendered that is allocated to such fractional share of common stock. Such capital gain or loss generally should be long-term capital gain or loss if the U.S. Holder’s holding period for the common stock surrendered in the Reverse Stock Split exceeds one year at the time of the Reverse Stock Split. Long-term capital gains of non-corporate U.S. Holders are generally subject to preferential tax rates. There are limitations on the deductibility of capital losses under the Code. Such U.S. Holder’s aggregate tax basis in the reduced number of shares of common stock received pursuant to the Reverse Stock Split should equal the U.S. Holder’s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tax basis in its old shares of common stock decreased by the basis allocated to the fractional share for which such U.S. Holder is entitled to receive cash, and the holding period of the reduced number of shares received will include the holding period of the old shares exchanged.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Stockholders may be subject to information reporting with respect to any cash received in lieu of fractional shares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Stockholders should consult their tax advisors regarding their qualification for an exemption from backup withholding and the procedures for obtaining such an exemption, as well as the procedures for obtaining a credit or refund if backup withholding is imposed. </w:t>
      </w:r>
    </w:p>
    <w:p>
      <w:pPr>
        <w:pStyle w:val="TextBody"/>
        <w:bidi w:val="0"/>
        <w:spacing w:before="240" w:after="0"/>
        <w:jc w:val="both"/>
        <w:rPr>
          <w:rFonts w:ascii="Times New Roman" w:hAnsi="Times New Roman"/>
          <w:b/>
          <w:sz w:val="20"/>
        </w:rPr>
      </w:pPr>
      <w:r>
        <w:rPr>
          <w:rFonts w:ascii="Times New Roman" w:hAnsi="Times New Roman"/>
          <w:b/>
          <w:sz w:val="20"/>
        </w:rPr>
        <w:t xml:space="preserve">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28288_15"/>
      <w:bookmarkEnd w:id="17"/>
      <w:r>
        <w:rPr>
          <w:rFonts w:ascii="Times New Roman" w:hAnsi="Times New Roman"/>
          <w:b/>
          <w:sz w:val="20"/>
        </w:rPr>
        <w:t xml:space="preserve">PROPOSAL NO. 7 </w:t>
      </w:r>
    </w:p>
    <w:p>
      <w:pPr>
        <w:pStyle w:val="TextBody"/>
        <w:bidi w:val="0"/>
        <w:spacing w:before="0" w:after="0"/>
        <w:jc w:val="center"/>
        <w:rPr>
          <w:rFonts w:ascii="Times New Roman" w:hAnsi="Times New Roman"/>
          <w:b/>
          <w:sz w:val="20"/>
        </w:rPr>
      </w:pPr>
      <w:r>
        <w:rPr>
          <w:rFonts w:ascii="Times New Roman" w:hAnsi="Times New Roman"/>
          <w:b/>
          <w:sz w:val="20"/>
        </w:rPr>
        <w:t xml:space="preserve">WARRANT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both"/>
        <w:rPr>
          <w:rFonts w:ascii="Times New Roman" w:hAnsi="Times New Roman"/>
          <w:sz w:val="20"/>
        </w:rPr>
      </w:pPr>
      <w:r>
        <w:rPr>
          <w:rFonts w:ascii="Times New Roman" w:hAnsi="Times New Roman"/>
          <w:sz w:val="20"/>
        </w:rPr>
        <w:t xml:space="preserve">On June 23, 2026, the Company entered into the Purchase Agreement with certain new and existing institutional and accredited investors named therein (each, an “Investor” and collectively, the “Investors”), for the private placement (the “Private Placement”) of an aggregate of 18,673,429 units (the “Units”), each Unit comprised of (i) (A) one share of the Company’s common stock, or (B) one pre-funded warrant to purchase one share of common stock (each, a “Pre-Funded Warrant” and collectively, the “Pre-Funded Warrants”), and, in each case, (ii) a right to receive one Series A warrant to purchase one share of common stock or a pre-funded warrant to purchase one share of common stock (each, a “Series A Warrant” and collectively, the “Series A Warrants”) upon receipt of Stockholder Approval (as defined below), and (iii) a right to receive one Series B warrant to purchase one share of common stock or a pre-funded warrant to purchase one share of common stock (each, a “Series B Warrant” and collectively, the “Series B Warrants”, and together with the Series A Warrants, the “Warrants”) upon receipt of Stockholder Approval (as defined below) (the shares of common stock issuable upon exercise of the Warrants, the “Warrant Shares”). </w:t>
      </w:r>
    </w:p>
    <w:p>
      <w:pPr>
        <w:pStyle w:val="TextBody"/>
        <w:bidi w:val="0"/>
        <w:spacing w:before="240" w:after="0"/>
        <w:jc w:val="both"/>
        <w:rPr>
          <w:rFonts w:ascii="Times New Roman" w:hAnsi="Times New Roman"/>
          <w:sz w:val="20"/>
        </w:rPr>
      </w:pPr>
      <w:r>
        <w:rPr>
          <w:rFonts w:ascii="Times New Roman" w:hAnsi="Times New Roman"/>
          <w:sz w:val="20"/>
        </w:rPr>
        <w:t xml:space="preserve">Under the Purchase Agreement, the Company is obligated to hold an annual or special meeting of stockholders on or prior to September 23, 2026 for the purpose of obtaining approval as may be required by the applicable rules and regulations of The Nasdaq Capital Market from the stockholders of the Company with respect to the issuance of all of the Series A Warrants and Series B Warrants and the Warrant Shares issuable upon the exercise thereof (the “Stockholder Approval”). The Company also agreed to call a meeting every 90 days thereafter to seek Stockholder Approval until the earlier of (i) the date the Stockholder Approval is effective, or (ii) (A) with respect to the Series A Warrants, December 25, 2027 and (B) with respect to the Series B Warrants, June 25, 2031. </w:t>
      </w:r>
    </w:p>
    <w:p>
      <w:pPr>
        <w:pStyle w:val="TextBody"/>
        <w:bidi w:val="0"/>
        <w:spacing w:before="240" w:after="0"/>
        <w:jc w:val="both"/>
        <w:rPr>
          <w:rFonts w:ascii="Times New Roman" w:hAnsi="Times New Roman"/>
          <w:sz w:val="20"/>
        </w:rPr>
      </w:pPr>
      <w:r>
        <w:rPr>
          <w:rFonts w:ascii="Times New Roman" w:hAnsi="Times New Roman"/>
          <w:sz w:val="20"/>
        </w:rPr>
        <w:t xml:space="preserve">The Series A Warrants will have an exercise price equal to $0.8033 per Warrant Share, will be exercisable immediately upon issuance and will expire on the earlier of (i) December 25, 2027 and (ii) 30 days following the Company’s public announcement of the clearance of its Investigational New Drug Application by the U.S. Food and Drug Administration for CM5480 (the “Series A Expiration Date”); provided that if such date occurs prior to the date on which Stockholder Approval is obtained (the “Stockholder Approval Date”), the Series A Expiration Date shall be extended until 30 days following the Stockholder Approval Date. The Series A Warrants will be issued upon receipt of Stockholder Approval. If a registration statement covering the resale of the Warrant Shares is not available, the Series A Warrants may also be exercisable on a net exercise “cashless” basis. The Series A Warrants may not be exercised for shares of common stock if the aggregate number of shares of common stock beneficially owned by the holder thereof immediately following such exercise would exceed a specified beneficial ownership limitation, not to exceed 19.99%. To the extent that exercise of the Series A Warrants will result in a holder thereof beneficially owning shares of common stock above such ownership limitations, the holder may exercise its Series A Warrants for pre-funded warrants to purchase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Series B Warrants will have an exercise price equal to $1.00 per Warrant Share, will be exercisable immediately upon issuance and will expire June 25, 2031. The Series B Warrants will be issued upon receipt of Stockholder Approval. If a registration statement covering the resale of the Warrant Shares is not available, the Series B Warrants may also be exercisable on a net exercise “cashless” basis. The Series B Warrants may not be exercised for shares of common stock if the aggregate number of shares of common stock beneficially owned by the holder thereof immediately following such exercise would exceed a specified beneficial ownership limitation, not to exceed 19.99%. To the extent that exercise of the Series B Warrants will result in a holder thereof beneficially owning shares of common stock above such ownership limitations, the holder may exercise its Series B Warrants for pre-funded warrants to purchase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If the Warrants are exercised for pre-funded warrants, the exercise price will be the applicable exercise price per Warrant Share minus $0.0001. Each pre-funded warrant will have an exercise price of $0.0001 per share and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 immediately exercisable on the date of issuance and will not expire. If a registration statement covering the resale of the shares of common stock underlying the pre-funded warrants is not available, the pre-funded warrants may also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 </w:t>
      </w:r>
    </w:p>
    <w:p>
      <w:pPr>
        <w:pStyle w:val="TextBody"/>
        <w:bidi w:val="0"/>
        <w:spacing w:before="360" w:after="0"/>
        <w:jc w:val="left"/>
        <w:rPr>
          <w:rFonts w:ascii="Times New Roman" w:hAnsi="Times New Roman"/>
          <w:b/>
          <w:sz w:val="20"/>
        </w:rPr>
      </w:pPr>
      <w:r>
        <w:rPr>
          <w:rFonts w:ascii="Times New Roman" w:hAnsi="Times New Roman"/>
          <w:b/>
          <w:sz w:val="20"/>
        </w:rPr>
        <w:t xml:space="preserve">Why We Need Stockholder Approval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listed on The Nasdaq Capital Market, and, as such, we are subject to the applicable rules of Nasdaq, including Nasdaq Listing Rule 5635(d), which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(such price, the “Minimum Price”). The closing price of our common stock immediately preceding the signing of the Purchase Agreement was $0.8033 and the average closing price of our common stock for the five trading dates immediately preceding the signing of the Purchase Agreement was $0.7908. Under Nasdaq’s rules, when an issuance includes common stock (or the equivalent) and warrants, it is necessary to attribute a value of $0.125, plus any amount that the warrant is currently in the money or could be in the money due to adjustments, such as for price protection, to each warrant for purposes of determining whether the common stock portion is at a discount. </w:t>
      </w:r>
    </w:p>
    <w:p>
      <w:pPr>
        <w:pStyle w:val="TextBody"/>
        <w:bidi w:val="0"/>
        <w:spacing w:before="240" w:after="0"/>
        <w:jc w:val="both"/>
        <w:rPr>
          <w:rFonts w:ascii="Times New Roman" w:hAnsi="Times New Roman"/>
          <w:sz w:val="20"/>
        </w:rPr>
      </w:pPr>
      <w:r>
        <w:rPr>
          <w:rFonts w:ascii="Times New Roman" w:hAnsi="Times New Roman"/>
          <w:sz w:val="20"/>
        </w:rPr>
        <w:t xml:space="preserve">We need stockholder approval because the issuance of the Series A Warrants and Series B Warrants and the Warrant Shares issuable upon the exercise thereof may not constitute a public offering under the Nasdaq Listing Rules, would exceed 20% of our outstanding common stock and does not meet the Nasdaq conditions that the offering price equals or exceeds the sum of (i) the applicable Minimum Price per share under Nasdaq Rule 5635(d) plus (ii) $0.125 per whole share of common stock underlying the Warrants. </w:t>
      </w:r>
    </w:p>
    <w:p>
      <w:pPr>
        <w:pStyle w:val="TextBody"/>
        <w:bidi w:val="0"/>
        <w:spacing w:before="240" w:after="0"/>
        <w:jc w:val="both"/>
        <w:rPr>
          <w:rFonts w:ascii="Times New Roman" w:hAnsi="Times New Roman"/>
          <w:sz w:val="20"/>
        </w:rPr>
      </w:pPr>
      <w:r>
        <w:rPr>
          <w:rFonts w:ascii="Times New Roman" w:hAnsi="Times New Roman"/>
          <w:sz w:val="20"/>
        </w:rPr>
        <w:t xml:space="preserve">Neither the issuance of the Series A Warrants and Series B Warrants pursuant to the Purchase Agreement nor the potential issuance of the Warrant Shares issuable upon the exercise thereof would constitute a public offering under the Nasdaq Listing Rules. In addition, as of June 23, 2026, we had 15,798,031 shares of common stock issued and outstanding. Therefore, the potential issuance of up to 37,346,858 shares of common stock upon the exercise in full of the Warrants would have constituted greater than 20% of the shares of common stock outstanding immediately prior to the execution of the Purchase Agreement. Finally, while common stock and Pre-Funded Warrants sold in the Private Placement met the applicable Minimum Price under Nasdaq Rule 5635(d), the proposed issuance of each Series A Warrant and Series B Warrant as part of the Units does not meet the Nasdaq requirement of pricing at least $0.125 above the Minimum Price. Accordingly, stockholder approval is required under the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If approved, this Proposal No. 7 will result in the issuance of up to 18,673,429 Series A Warrants and 18,673,429 Series B Warrants and could result in the issuance of up to 37,346,858 shares of common stock upon exercise of the Warrants, subject to their respective beneficial ownership limitations. A concentration of ownership could adversely affect the prevailing market price and liquidity for the shares of common stock. Holders of our common stock or securities convertible into common stock could experience substantial dilution of their interests as a result of such exercise and could own or come to own a smaller percentage of our outstanding shares of common stock and, accordingly, a smaller percentage interest in the voting power, liquidation value and book value of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upon issuance of shares of common stock upon the exercise of the Warrants, there would be a greater number of shares of our common stock eligible for sale in the public markets. Any such sales, or the anticipation of the possibility of such sales, represents an overhang on the market and could depress the market price of our common stock. Finally, the reservation of the shares underlying the Warrants precludes the Company from issuing such shares for other purposes including equity financings and we may be unable to raise additional capital as a result. </w:t>
      </w:r>
    </w:p>
    <w:p>
      <w:pPr>
        <w:pStyle w:val="TextBody"/>
        <w:bidi w:val="0"/>
        <w:spacing w:before="240" w:after="0"/>
        <w:jc w:val="both"/>
        <w:rPr>
          <w:rFonts w:ascii="Times New Roman" w:hAnsi="Times New Roman"/>
          <w:sz w:val="20"/>
        </w:rPr>
      </w:pPr>
      <w:r>
        <w:rPr>
          <w:rFonts w:ascii="Times New Roman" w:hAnsi="Times New Roman"/>
          <w:sz w:val="20"/>
        </w:rPr>
        <w:t xml:space="preserve">If this Proposal No. 7 is approved and the Warrants are exercised for cash, we will receive proceeds of up to an additional approximately $34 million in gross proceeds, which would allow us to continue to execute upon our current business plan.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Non-Approval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not seeking the approval of stockholders to authorize its entry into the Private Placement described above, as the Company has already done so and such documents are already binding obligations of the Company. The failure of stockholders to approve this Proposal No. 7 will not negate the existing terms of the Private Placement or the relevant documents, which will remain binding on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failure of our stockholders to approve this Proposal No. 7 and the resulting inability of the Company to issue the Warrants and the investors to exercise the Warrants for cash may materially adversely affect the Company’s future ability to raise equity or debt capital from third parties on attractive terms, if at all, and also risks significantly impairing the operations, assets and ongoing viability of the Company. The Company estimates, based on its current operating plan, that the net proceeds from the Private Placement, together with its current cash and cash equivalents (but excluding any additional proceeds that may be received upon the exercise of Series A Warrants or Series B Warrants), will be sufficient to fund its operations into the second half of 2027. However, if we are not able to raise additional capital in the near-term, it is likely that we will have to delay, reduce or eliminate significant portions of the research and development of our product candidates which could, among other things, negatively impact our business prospects and have a material adverse effect on our financial condition, operating results and business. </w:t>
      </w:r>
    </w:p>
    <w:p>
      <w:pPr>
        <w:pStyle w:val="TextBody"/>
        <w:bidi w:val="0"/>
        <w:spacing w:before="240" w:after="0"/>
        <w:jc w:val="both"/>
        <w:rPr>
          <w:rFonts w:ascii="Times New Roman" w:hAnsi="Times New Roman"/>
          <w:sz w:val="20"/>
        </w:rPr>
      </w:pPr>
      <w:r>
        <w:rPr>
          <w:rFonts w:ascii="Times New Roman" w:hAnsi="Times New Roman"/>
          <w:sz w:val="20"/>
        </w:rPr>
        <w:t xml:space="preserve">If the Warrants are exercised for cash, we would realize an aggregate of up to approximately $34 million in gross proceeds, before giving effect to the applicable beneficial ownership limitations contained in the Warrants, which may have the effect of limiting the Warrant holders’ ability to exercise the Warrants in full for shares of common stock. Loss of these potential funds could jeopardize our ability to execute our business plan or fund our operations and if we are not able to raise sufficient additional capital in the very near term to fund our operations, we may need to further curtail or cease operations and seek protection by filing a voluntary petition for relief under the United States Bankruptcy Code.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this Proposal No. 7 is not approved, the Company is obligated under the terms of the Purchase Agreement to call a special meeting of its stockholders every 90 days thereafter to seek Stockholder Approval until the earlier of (i) the date the Stockholder Approval is effective, or (ii) (A) with respect to the Series A Warrants, December 25, 2027 and (B) with respect to the Series B Warrants, June 25, 2031. The Company will incur substantial additional expenses and administrative and associated costs to satisfy this obligation to continue holding stockholder meetings to obtain Stockholder Approval and it will require significant time and attention by our Board of Directors and management, diverting their focus from the pursuit of our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28288_16"/>
      <w:bookmarkEnd w:id="18"/>
      <w:r>
        <w:rPr>
          <w:rFonts w:ascii="Times New Roman" w:hAnsi="Times New Roman"/>
          <w:b/>
          <w:sz w:val="20"/>
        </w:rPr>
        <w:t xml:space="preserve">PROPOSAL NO. 8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AND OFFICER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both"/>
        <w:rPr>
          <w:rFonts w:ascii="Times New Roman" w:hAnsi="Times New Roman"/>
          <w:sz w:val="20"/>
        </w:rPr>
      </w:pPr>
      <w:r>
        <w:rPr>
          <w:rFonts w:ascii="Times New Roman" w:hAnsi="Times New Roman"/>
          <w:sz w:val="20"/>
        </w:rPr>
        <w:t xml:space="preserve">As described in Proposal 7 above, on June 23, 2026, we entered into the Purchase Agreement with certain new and existing investors. These investors included certain of our directors and officers (and affiliated entities), who purchased an aggregate of 1,680,565 Units in the offering. The purchase price for each Unit, as applicable, for any Investor that is an officer, director, employee or consultant of the Company was priced above the “market value,” as described below, as of June 23, 2026. </w:t>
      </w:r>
    </w:p>
    <w:p>
      <w:pPr>
        <w:pStyle w:val="TextBody"/>
        <w:bidi w:val="0"/>
        <w:spacing w:before="360" w:after="0"/>
        <w:jc w:val="left"/>
        <w:rPr>
          <w:rFonts w:ascii="Times New Roman" w:hAnsi="Times New Roman"/>
          <w:b/>
          <w:sz w:val="20"/>
        </w:rPr>
      </w:pPr>
      <w:r>
        <w:rPr>
          <w:rFonts w:ascii="Times New Roman" w:hAnsi="Times New Roman"/>
          <w:b/>
          <w:sz w:val="20"/>
        </w:rPr>
        <w:t xml:space="preserve">Why We Need Stockholder Approval </w:t>
      </w:r>
    </w:p>
    <w:p>
      <w:pPr>
        <w:pStyle w:val="TextBody"/>
        <w:bidi w:val="0"/>
        <w:spacing w:before="120" w:after="0"/>
        <w:jc w:val="both"/>
        <w:rPr>
          <w:rFonts w:ascii="Times New Roman" w:hAnsi="Times New Roman"/>
          <w:sz w:val="20"/>
        </w:rPr>
      </w:pPr>
      <w:r>
        <w:rPr>
          <w:rFonts w:ascii="Times New Roman" w:hAnsi="Times New Roman"/>
          <w:sz w:val="20"/>
        </w:rPr>
        <w:t xml:space="preserve">Nasdaq Listing Rule 5635(c) requires the Company to obtain stockholder approval prior to the issuance of common stock in connection with certain offerings involving the sale, issuance or potential issuance by a listed company of equity compensation. For this purpose, “equity compensation” includes common stock (and/or securities convertible into or exercisable for common stock) issued to our officers, directors, employees or consultants at a discount to the “market value” of the common stock, and “market value” is the consolidated closing bid price per share immediately preceding the time that the listed company enters into a binding agreement to issue the securities. The consolidated bid price per share immediately preceding the entry into the Purchase Agreement was $0.7908. </w:t>
      </w:r>
    </w:p>
    <w:p>
      <w:pPr>
        <w:pStyle w:val="TextBody"/>
        <w:bidi w:val="0"/>
        <w:spacing w:before="240" w:after="0"/>
        <w:jc w:val="both"/>
        <w:rPr>
          <w:rFonts w:ascii="Times New Roman" w:hAnsi="Times New Roman"/>
          <w:sz w:val="20"/>
        </w:rPr>
      </w:pPr>
      <w:r>
        <w:rPr>
          <w:rFonts w:ascii="Times New Roman" w:hAnsi="Times New Roman"/>
          <w:sz w:val="20"/>
        </w:rPr>
        <w:t xml:space="preserve">Although the common stock and Pre-Funded Warrants issued in the offering were sold at a price equal to the “market value,” the proposed issuance of each Series A Warrant and Series B Warrant as part of the Units is less than the “market value” as of the date of the Purchase Agreement because Nasdaq rules attribute a value of $0.125 per share of common stock issuable upon exercise of the Warrants that must be added to the “market value” for the shares of common stock issued in the offering in order to determine the “market value” applicable to the shares of common stock issuable upon exercise such Warrants. </w:t>
      </w:r>
    </w:p>
    <w:p>
      <w:pPr>
        <w:pStyle w:val="TextBody"/>
        <w:bidi w:val="0"/>
        <w:spacing w:before="240" w:after="0"/>
        <w:jc w:val="both"/>
        <w:rPr>
          <w:rFonts w:ascii="Times New Roman" w:hAnsi="Times New Roman"/>
          <w:sz w:val="20"/>
        </w:rPr>
      </w:pPr>
      <w:r>
        <w:rPr>
          <w:rFonts w:ascii="Times New Roman" w:hAnsi="Times New Roman"/>
          <w:sz w:val="20"/>
        </w:rPr>
        <w:t xml:space="preserve">The issuance of the Series A Warrants and Series B Warrants and the Warrant Shares issuable upon the exercise thereof may result in shares of our common stock being issuable to Dr. Leheny, our Chief Executive Officer and director, Mr. Roberts, our Chief Business Officer and director, Dr. Hebbar, our Chief Medical Officer, and Mr. Wilson, our director, at a price which may be deemed to be below the “market value” of our common stock at the time we sold the Units to these holders. Thus, the issuance of the Warrants and underlying Warrant Shares may be considered “equity compensation” under Nasdaq Listing Rule 5635(c). </w:t>
      </w:r>
    </w:p>
    <w:p>
      <w:pPr>
        <w:pStyle w:val="TextBody"/>
        <w:bidi w:val="0"/>
        <w:spacing w:before="240" w:after="0"/>
        <w:jc w:val="both"/>
        <w:rPr>
          <w:rFonts w:ascii="Times New Roman" w:hAnsi="Times New Roman"/>
          <w:sz w:val="20"/>
        </w:rPr>
      </w:pPr>
      <w:r>
        <w:rPr>
          <w:rFonts w:ascii="Times New Roman" w:hAnsi="Times New Roman"/>
          <w:sz w:val="20"/>
        </w:rPr>
        <w:t xml:space="preserve">By approving this Proposal No. 8, you are approving the proposal for purposes of the requirements under Nasdaq Listing Rule 5635(c), which may result in Drs. Leheny and Hebbar, Messrs. Roberts and Wilson, acquiring shares of our common stock at a price of less than “market value.” In order for their Series A Warrants and Series B Warrants to be fully issued as contemplated by the Purchase Agreement, stockholder approval is required because, for purposes of the Nasdaq Listing Rule 5635(c), the issuance of the Warrants could result in shares of our common stock being issuable to such directors, officers or their affiliates upon exercise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8 is approved, the issuance of the Series A Warrants and Series B Warrants and the potential issuance of the underlying Warrant Shares to certain of our directors and officers and their affiliated entities would dilute, and thereby reduce, each existing stockholder’s proportionate ownership in our common stock. Approval of this Proposal No. 8 would increase the number of shares of our common stock issuable upon exercise of the Series A Warrants and Series B Warrants by an incremental 1,680,565 shares of common stock; provided that if the issuance of common stock upon exercise of Warrants would result in a holder exceeding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applicable beneficial ownership limitations contained in the Warrants, such excess Warrants will remain outstanding. The consequences of the issuance of additional shares of our common stock upon exercise of the Warrants are consistent with those described above under Proposal 7.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Effects of Non-Approval of this Proposal </w:t>
      </w:r>
    </w:p>
    <w:p>
      <w:pPr>
        <w:pStyle w:val="TextBody"/>
        <w:bidi w:val="0"/>
        <w:spacing w:before="120" w:after="0"/>
        <w:jc w:val="both"/>
        <w:rPr>
          <w:rFonts w:ascii="Times New Roman" w:hAnsi="Times New Roman"/>
          <w:sz w:val="20"/>
        </w:rPr>
      </w:pPr>
      <w:r>
        <w:rPr>
          <w:rFonts w:ascii="Times New Roman" w:hAnsi="Times New Roman"/>
          <w:sz w:val="20"/>
        </w:rPr>
        <w:t xml:space="preserve">If this Proposal No. 8 is not approved by our stockholders, certain of our directors and officers and their affiliated entities will not be issued Series A Warrants and Series B Warrants pursuant to the Purchase Agreement. An aggregate of 3,361,130 fewer Warrants would be issued and the Company would not have the potential to receive up to an aggregate of $3,030,562.87 upon cash exercise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28288_17"/>
      <w:bookmarkEnd w:id="19"/>
      <w:r>
        <w:rPr>
          <w:rFonts w:ascii="Times New Roman" w:hAnsi="Times New Roman"/>
          <w:b/>
          <w:sz w:val="20"/>
        </w:rPr>
        <w:t xml:space="preserve">SECURITY OWNERSHIP OF CERTAIN BENEFICIAL OWNERS AND MANAGEMENT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certain information regarding the ownership of the Company’s common stock as of July 9, 2026 by: (i) each of our directors; (ii) each of our named executive officers as defined below under the heading “Executive Compensation”; (iii) each person known by us to beneficially own more than 5% of our common stock and (iv) all of our current executive officers and directors as a group. </w:t>
      </w:r>
    </w:p>
    <w:p>
      <w:pPr>
        <w:pStyle w:val="TextBody"/>
        <w:bidi w:val="0"/>
        <w:spacing w:before="240" w:after="0"/>
        <w:jc w:val="both"/>
        <w:rPr>
          <w:rFonts w:ascii="Times New Roman" w:hAnsi="Times New Roman"/>
          <w:sz w:val="20"/>
        </w:rPr>
      </w:pPr>
      <w:r>
        <w:rPr>
          <w:rFonts w:ascii="Times New Roman" w:hAnsi="Times New Roman"/>
          <w:sz w:val="20"/>
        </w:rPr>
        <w:t xml:space="preserve">Beneficial ownership is determined in accordance with the rules of the SEC and includes voting and investment power with respect to the securities. This table is based upon information supplied by officers, directors and principal stockholders and Schedules 13D and 13G filed with the SEC. Except as indicated by footnote, and subject to applicable community property laws, we believe the persons named in the table have sole voting and investment power with respect to all shares of common stock shown as beneficially owned by them. </w:t>
      </w:r>
    </w:p>
    <w:p>
      <w:pPr>
        <w:pStyle w:val="TextBody"/>
        <w:bidi w:val="0"/>
        <w:spacing w:before="240" w:after="0"/>
        <w:jc w:val="both"/>
        <w:rPr>
          <w:rFonts w:ascii="Times New Roman" w:hAnsi="Times New Roman"/>
          <w:sz w:val="20"/>
        </w:rPr>
      </w:pPr>
      <w:r>
        <w:rPr>
          <w:rFonts w:ascii="Times New Roman" w:hAnsi="Times New Roman"/>
          <w:sz w:val="20"/>
        </w:rPr>
        <w:t xml:space="preserve">Percentage of beneficial ownership is based on 30,736,401 shares of common stock outstanding as of July 9, 2026. The number of shares of common stock used to calculate the percentage ownership of each listed person includes the shares of common stock underlying options or warrants held by such persons that are exercisable within 60 days following July 9, 2026. Unless otherwise indicated, the address for the persons and entities listed in the table below is c/o CalciMedica, Inc., 505 Coast Boulevard South, Suite 300-9, La Jolla, California 92037. </w:t>
      </w:r>
    </w:p>
    <w:p>
      <w:pPr>
        <w:pStyle w:val="TextBody"/>
        <w:bidi w:val="0"/>
        <w:spacing w:before="0" w:after="0"/>
        <w:jc w:val="left"/>
        <w:rPr/>
      </w:pPr>
      <w:r>
        <w:rPr/>
        <w:t> </w:t>
      </w:r>
    </w:p>
    <w:tbl>
      <w:tblPr>
        <w:tblW w:w="8704" w:type="dxa"/>
        <w:jc w:val="left"/>
        <w:tblInd w:w="0" w:type="dxa"/>
        <w:tblLayout w:type="fixed"/>
        <w:tblCellMar>
          <w:top w:w="0" w:type="dxa"/>
          <w:left w:w="0" w:type="dxa"/>
          <w:bottom w:w="0" w:type="dxa"/>
          <w:right w:w="0" w:type="dxa"/>
        </w:tblCellMar>
      </w:tblPr>
      <w:tblGrid>
        <w:gridCol w:w="5720"/>
        <w:gridCol w:w="120"/>
        <w:gridCol w:w="61"/>
        <w:gridCol w:w="1129"/>
        <w:gridCol w:w="60"/>
        <w:gridCol w:w="120"/>
        <w:gridCol w:w="116"/>
        <w:gridCol w:w="1088"/>
        <w:gridCol w:w="290"/>
      </w:tblGrid>
      <w:tr>
        <w:trPr/>
        <w:tc>
          <w:tcPr>
            <w:tcW w:w="5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Beneficially</w:t>
              <w:br/>
              <w:t>Owned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Beneficially</w:t>
              <w:br/>
              <w:t>Owned (%)</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Alafi Capital Company, LLC (1)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5,112,345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16.63</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Sanderling Ventures(2)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2,660,726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8.66</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Bering Partners II, L.P.(3)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2,244,164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7.27</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CVI Investments, Inc.(4)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1,556,081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5.06</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Ph.D.(5)</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1,698,053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5.41</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Roberts(6)</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1,647,026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5.29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M.D.(7)</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643,032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2.06</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Frederic Guerard, Pharm.D.(8)</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150,727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Glicklich(9)</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50,658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Fred Middleton(10)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2,797,425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9.07</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Allan Shaw(11)</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101,468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Wilson(12)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1,756,448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5.69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Evgeny Zaytsev, M.D., Ph.D.(13)</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2,244,164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7.27</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(12 persons)(14)</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12,103,370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28.25</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4810" w:type="dxa"/>
        <w:jc w:val="left"/>
        <w:tblInd w:w="0" w:type="dxa"/>
        <w:tblLayout w:type="fixed"/>
        <w:tblCellMar>
          <w:top w:w="0" w:type="dxa"/>
          <w:left w:w="0" w:type="dxa"/>
          <w:bottom w:w="0" w:type="dxa"/>
          <w:right w:w="0" w:type="dxa"/>
        </w:tblCellMar>
      </w:tblPr>
      <w:tblGrid>
        <w:gridCol w:w="155"/>
        <w:gridCol w:w="4655"/>
      </w:tblGrid>
      <w:tr>
        <w:trPr/>
        <w:tc>
          <w:tcPr>
            <w:tcW w:w="155"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5,112,345 shares of common stock and excludes 130,651 shares of common stock issuable upon the exercise of warrants held by Alafi Capital Company, LLC (“Alafi Capital”). Christopher D. Alafi is the managing member of Alafi and may be deemed to have sole voting or investment power. The business address of each of Alafi Capital and Mr. Alafi is 8 Admiral Drive, Suite 324, Emeryville, CA 94608. Information is based solely on an amended Schedule 13D filed with the SEC on July 10,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946,744 shares of common stock and 2,672 shares of common stock issuable upon exercise of warrants held by Sanderling Venture Partners VI, LP, (ii) 1,063,272 shares of common stock and 1,910 shares of common stock issuable upon exercise of warrants held by Sanderling Venture Partners VI Co-Investment Fund, L.P., (iii) 22,479 shares of common stock held by Sanderling Ventures Management VI, (iv) 7,456 shares of the common stock held by Sanderling VI Beteiligungs GmbH &amp; Co KG, (v) 8,884 shares of common stock held by Sanderling VI Limited Partnership, (vi) 435,148 shares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common stock held by Sanderling Ventures VII, L.P., (vii) 27,609 shares of common stock held by Sanderling Ventures VII Annex Fund, L.P., (viii) 114,260 shares of common stock held by Sanderling Ventures VII (Canada), LP, and (ix) 30,292 shares of common stock held by Sanderling Ventures Management VII. The number of shares beneficially owned by the foregoing Sanderling Ventures entities is limited by a 4.99% beneficial ownership limitation applicable to the Common Warrants (as defined below) held by the foregoing Sanderling Ventures entities. Accordingly, the number of shares reported does not reflect shares of common stock underlying such Common Warrants to the extent the exercise thereof would exceed the beneficial ownership limitation. Mr. Middleton is a managing director at Sanderling Ventures. Mr. Middleton has shared voting and dispositive power with respect to the foregoing shares beneficially owned by Sanderling Ventures and disclaims beneficial ownership of such shares except to the extent of his respective pecuniary interest therein. The address of Sanderling Ventures is 1300 S. El Camino Real, Suite 203, San Mateo, CA 94402.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2,113,513 shares of common stock and (ii) 130,651 shares of common stock issuable upon the exercise of warrants held by Bering Partners II, L.P. (“Bering II”). Bering Partners II GP, L.L.C. (“Bering II GP”) is the general partner of Bering II and may be deemed to have voting and dispositive power with respect to the securities held by Bering II. Evgeny Zaytsev and Philip Sawyer, the managing members of Bering II GP, may be deemed to have voting and dispositive power with respect to these securities. Each of Bering II GP, Evgeny Zaytsev and Mr. Sawyer disclaim beneficial ownership of the securities held by Bering II, except to the extent of such person’s pecuniary interest therein. The address of each of the entities and individuals is 601 California Street, Suite 620, San Francisco, California 94108. Information is based solely on a Schedule 13D filed with the SEC on July 2, 2026.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Heights Capital Management, Inc. is the investment manager to CVI Investments, Inc. (“CVI”) and as such may exercise voting and dispositive power over the shares reported as beneficially owned by CVI. The principal business address of CVI is P.O. Box 309GT, Ugland House, South Church Street, George Town, Grand Cayman, KY1-1104, Cayman Islands. The principal business address of CVI is c/o Heights Capital Management, Inc., 101 California Street, Suite 3250, San Francisco, California 94111.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(5)</w:t>
            </w:r>
          </w:p>
        </w:tc>
        <w:tc>
          <w:tcPr>
            <w:tcW w:w="997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317,655 shares of common stock held by Dr. Leheny, (ii) 1,000 shares of common stock held by Dr. Leheny’s spouse, (iii) 3,500 shares held by Scheibler-Leheny Family Living Trust, and (iv) 636,572 shares of common stock that Dr. Leheny has the right to acquire within 60 days of July 9, 2026 pursuant to the exercise of stock options. Also includes (i) 356,989 shares of common stock held by Valence Investments SPV IV, LLC (“Valence IV”), (ii) 66,228 shares of common stock and shares of common stock issuable upon exercise of warrants held by Valence Investments SPV V, LLC (“Valence V”) and (iii) 316,109 shares of common stock held by Valence Investments SPV VI, LLC (“Valence VI”, together with Valence IV and Valence V, the “Valence Entities”). The number of shares beneficially owned by the foregoing Valence entities is limited by a 4.99% beneficial ownership limitation applicable to the Common Warrants held by the foregoing Valence entities. Accordingly, the number of shares reported does not reflect shares of common stock underlying such Common Warrants to the extent the exercise thereof would exceed the beneficial ownership limitation. Dr. Leheny and Mr. Roberts are the co-founders and managing directors of the Valence Entities, have shared voting and dispositive power with respect to shares held by such entities, and disclaim beneficial ownership of such shares except to the extent of her or his pecuniary interest therein. The principal business address of Valence Investment LLC is 590 Madison Avenue, 21st Floor, New York, NY 10022.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(6)</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366,435 shares of common stock held by Mr. Roberts, (ii) 10,661 shares of common stock held by IRA Financial Trust Company, CFBO Eric W. Roberts, (iii) 84,150 shares of common stock held by FMTC Custodian – CFBO Eric W. Roberts, (iv) 49,894 shares of common stock held by Oppenheimer &amp; Co. Inc. Custodian FBO Eric W Roberts Roth IRA, (v) 2,793 shares of common stock that Mr. Roberts has the right to acquire within 60 days of July 9, 2026 pursuant to the exercise of warrants held by Mr. Roberts, and (vii) 393,767 shares of common stock that Mr. Roberts has the right to acquire within 60 days of July 9, 2026 pursuant to the exercise of stock options. Also includes the shares held by the Valence Entities described in note (4)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186,025 shares of common stock held by Dr. Hebbar, and (ii) 457,007 shares of common stock Dr. Hebbar has the right to acquire within 60 days of July 9, 2026 pursuant to the exercise of stock options.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90,727 shares of common stock held by Dr. Guerard and (ii) 60,000 shares of common stock Dr. Guerard has the right to acquire within 60 days of July 9, 2026 pursuant to the exercise of stock options.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(9)</w:t>
            </w:r>
          </w:p>
        </w:tc>
        <w:tc>
          <w:tcPr>
            <w:tcW w:w="99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50,658 shares of common stock that Mr. Glicklich has the right to acquire within 60 days of July 9, 2026 pursuant to the exercise of options.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(10)</w:t>
            </w:r>
          </w:p>
        </w:tc>
        <w:tc>
          <w:tcPr>
            <w:tcW w:w="98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the shares described in note (2) above, (ii) 36,514 shares of common stock held by Mr. Middleton, (iii) 5,760 shares of common stock issuable upon exercise of warrants held by Mr. Middleton, (iv) 8,176 shares of common stock held by Golden Triangle Ventures, LLC and (v) 86,249 shares of common stock that Mr. Middleton has the right to acquire within 60 days of July 9, 2026 pursuant to the exercise of options. Mr. Middleton is managing member of Golden Triangle Ventures LLC. </w:t>
            </w:r>
          </w:p>
        </w:tc>
      </w:tr>
    </w:tbl>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(11)</w:t>
            </w:r>
          </w:p>
        </w:tc>
        <w:tc>
          <w:tcPr>
            <w:tcW w:w="979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101,468 shares of common stock that Mr. Shaw has the right to acquire within 60 days of July 9, 2026 pursuant to the exercise of stock options.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(12)</w:t>
            </w:r>
          </w:p>
        </w:tc>
        <w:tc>
          <w:tcPr>
            <w:tcW w:w="98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1,604,650 shares of common stock held by Mr. Wilson and (ii) 151,798 shares of common stock that Mr. Wilson has the right to acquire within 60 days of July 9, 2026 pursuant to the exercise of stock options. </w:t>
            </w:r>
          </w:p>
        </w:tc>
      </w:tr>
    </w:tbl>
    <w:tbl>
      <w:tblPr>
        <w:tblW w:w="4540" w:type="dxa"/>
        <w:jc w:val="left"/>
        <w:tblInd w:w="0" w:type="dxa"/>
        <w:tblLayout w:type="fixed"/>
        <w:tblCellMar>
          <w:top w:w="0" w:type="dxa"/>
          <w:left w:w="0" w:type="dxa"/>
          <w:bottom w:w="0" w:type="dxa"/>
          <w:right w:w="0" w:type="dxa"/>
        </w:tblCellMar>
      </w:tblPr>
      <w:tblGrid>
        <w:gridCol w:w="425"/>
        <w:gridCol w:w="4115"/>
      </w:tblGrid>
      <w:tr>
        <w:trPr/>
        <w:tc>
          <w:tcPr>
            <w:tcW w:w="425" w:type="dxa"/>
            <w:tcBorders/>
            <w:vAlign w:val="center"/>
          </w:tcPr>
          <w:p>
            <w:pPr>
              <w:pStyle w:val="TableContents"/>
              <w:bidi w:val="0"/>
              <w:spacing w:before="0" w:after="283"/>
              <w:jc w:val="left"/>
              <w:rPr/>
            </w:pPr>
            <w:r>
              <w:rPr/>
              <w:t>(13)</w:t>
            </w:r>
          </w:p>
        </w:tc>
        <w:tc>
          <w:tcPr>
            <w:tcW w:w="41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the shares described in note (3) above.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(14)</w:t>
            </w:r>
          </w:p>
        </w:tc>
        <w:tc>
          <w:tcPr>
            <w:tcW w:w="98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the shares listed in notes (5) through (13) above, (ii) 27,705 shares of common stock, and (iii) 989,457 shares of common stock our executive officers have the right to acquire within 60 days of July 9, 2026 pursuant to the exercise of stock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28288_18"/>
      <w:bookmarkEnd w:id="20"/>
      <w:r>
        <w:rPr>
          <w:rFonts w:ascii="Times New Roman" w:hAnsi="Times New Roman"/>
          <w:b/>
          <w:sz w:val="20"/>
        </w:rPr>
        <w:t xml:space="preserve">CERTAIN RELATIONSHIPS AND RELATED-PARTY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adopted a written related-person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related-person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the related party’s relationship to the Company and interest in the transaction and the potential impact on a director’s independence if the related party is a director. </w:t>
      </w:r>
    </w:p>
    <w:p>
      <w:pPr>
        <w:pStyle w:val="TextBody"/>
        <w:bidi w:val="0"/>
        <w:spacing w:before="240" w:after="0"/>
        <w:jc w:val="both"/>
        <w:rPr>
          <w:rFonts w:ascii="Times New Roman" w:hAnsi="Times New Roman"/>
          <w:sz w:val="20"/>
        </w:rPr>
      </w:pPr>
      <w:r>
        <w:rPr>
          <w:rFonts w:ascii="Times New Roman" w:hAnsi="Times New Roman"/>
          <w:sz w:val="20"/>
        </w:rPr>
        <w:t xml:space="preserve">Other than the executive officer and director compensation arrangements, which are discussed above for our named executive officers and directors under “Executive Compensation,” we describe below transactions and series of similar transactions, since January 1, 2024, with respect to which we were or will be a party in which the amount involved exceeded or will exceed the lesser of $120,000 or 1% of the average of the Company’s total assets at year 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Danforth Consulting Agreement and Warrants </w:t>
      </w:r>
    </w:p>
    <w:p>
      <w:pPr>
        <w:pStyle w:val="TextBody"/>
        <w:bidi w:val="0"/>
        <w:spacing w:before="120" w:after="0"/>
        <w:jc w:val="both"/>
        <w:rPr>
          <w:rFonts w:ascii="Times New Roman" w:hAnsi="Times New Roman"/>
          <w:sz w:val="20"/>
        </w:rPr>
      </w:pPr>
      <w:r>
        <w:rPr>
          <w:rFonts w:ascii="Times New Roman" w:hAnsi="Times New Roman"/>
          <w:sz w:val="20"/>
        </w:rPr>
        <w:t xml:space="preserve">On October 26, 2020, Private CalciMedica entered into a consulting agreement (the “Danforth Consulting Agreement”) with Danforth Advisors, LLC (“Danforth”), a company affiliated with Mr. Geffken, our acting chief financial officer until November 2024. The Danforth Consulting Agreement provides that Danforth will provide certain strategic and financial advice and support services to us. The Danforth Consulting Agreement remains in effect until such time as either party has given notice of termination and may be terminated by either party upon 30 days prior written notice to the other party. As consideration under the Danforth Consulting Agreement, we compensate Danforth with consulting fees based on hourly rates as enumerated in the Danforth Consulting Agreement. In the years ended December 31, 2025 and 2024, we paid aggregate fees to Danforth of $131,000 and $294,000, respectively, pursuant to the Danforth Consulting Agreement. Through the date of this proxy statement, we have paid aggregate fees to Danforth of $1.6 million pursuant to the Danforth Consulting Agreement. </w:t>
      </w:r>
    </w:p>
    <w:p>
      <w:pPr>
        <w:pStyle w:val="TextBody"/>
        <w:bidi w:val="0"/>
        <w:spacing w:before="240" w:after="0"/>
        <w:jc w:val="both"/>
        <w:rPr>
          <w:rFonts w:ascii="Times New Roman" w:hAnsi="Times New Roman"/>
          <w:sz w:val="20"/>
        </w:rPr>
      </w:pPr>
      <w:r>
        <w:rPr>
          <w:rFonts w:ascii="Times New Roman" w:hAnsi="Times New Roman"/>
          <w:sz w:val="20"/>
        </w:rPr>
        <w:t xml:space="preserve">On May 17, 2024, in connection with Mr. Geffken’s services provided under the Danforth Consulting Agreement, CalciMedica granted to SG Dan Equity a warrant (“SG 2024 Warrant”) to purchase 10,000 shares of CalciMedica common stock at an exercise price of $5.45 per share (subject to adjustment as provided therein), which vested in equal monthly installments over a period of one year from the grant date and is fully vested. The SG 2024 Warrant is exercisable until May 24, 2034, unless earlier terminated. The SG 2024 Warrant shall terminate in the event of certain change of control transactions or asset transfers (as provided therein) unless exercised immediately prior to any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2024 Private Placement </w:t>
      </w:r>
    </w:p>
    <w:p>
      <w:pPr>
        <w:pStyle w:val="TextBody"/>
        <w:bidi w:val="0"/>
        <w:spacing w:before="120" w:after="0"/>
        <w:jc w:val="both"/>
        <w:rPr>
          <w:rFonts w:ascii="Times New Roman" w:hAnsi="Times New Roman"/>
          <w:sz w:val="20"/>
        </w:rPr>
      </w:pPr>
      <w:r>
        <w:rPr>
          <w:rFonts w:ascii="Times New Roman" w:hAnsi="Times New Roman"/>
          <w:sz w:val="20"/>
        </w:rPr>
        <w:t xml:space="preserve">On January 19, 2024, we and certain accredited investors (each a “2024 Investor” and collectively, the “2024 Investors”) entered into a securities purchase agreement (the “2024 Securities Purchase Agreement”) pursuant to which we sold an aggregate of (i) 4,985,610 shares (the “2024 Shares”) of our common stock (ii)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certain investors, in lieu of 2024 Shares, pre-funded warrants (the “2024 Pre-Funded Warrants”) to purchase an aggregate of 306,506 shares of our common stock, (iii) Tranche A warrants (the “Tranche A Common Warrant”) to purchase an aggregate of up to 2,646,058 shares of our common stock and (iv) Tranche B warrants (the “Tranche B Common Warrant” and, together with the Tranche A Common Warrant, the “Common Warrants”) to purchase an aggregate of up to 2,646,058 shares of our common stock, for an aggregate of up to 5,292,116 shares of our common stock underlying the Common Warrants, in a private placement transaction (the “2024 Private Placement”). The purchase price per 2024 Share and accompanying Common Warrants was $3.827 (or $4.3915 for directors, employees or consultants participating in the 2024 Private Placement) (or $3.8269 per 2024 Pre-Funded Warrant and accompanying Common Warrants, which represents the price of $3.827 per 2024 Share and accompanying Common Warrants minus the $0.0001 per share exercise price of each such 2024 Pre-Funded Warrant).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2024 Private Placement, we and the 2024 Investors entered into a Registration Rights Agreement (the “2024 Registration Rights Agreement”), pursuant to which we granted certain registration rights to the 2024 Investors with respect to their 2024 Shares and the shares of our common stock underlying their Common Warrants and 2024 Pre-Funded Warrants (collectively, the “2024 Warrants”). On January 31, 2024, we filed a resale registration statement registering the resale of the shares sold in the 2024 Private Placement, which was declared effective on February 9, 2024. We are required to keep the resale registration statement continuously effective until such date that all registrable securities (as such term is defined in the 2024 Registration Rights Agreement) covered by the resale registration statement have been sold thereunder or pursuant to Rule 144 promulgated under the Securities Act or may be sold without volume or manner-of-sale restrictions pursuant to Rule 144 and without the requirement for us to be in compliance with the current public information requirement under Rule 144. </w:t>
      </w:r>
    </w:p>
    <w:p>
      <w:pPr>
        <w:pStyle w:val="TextBody"/>
        <w:bidi w:val="0"/>
        <w:spacing w:before="240" w:after="0"/>
        <w:jc w:val="both"/>
        <w:rPr>
          <w:rFonts w:ascii="Times New Roman" w:hAnsi="Times New Roman"/>
          <w:sz w:val="20"/>
        </w:rPr>
      </w:pPr>
      <w:r>
        <w:rPr>
          <w:rFonts w:ascii="Times New Roman" w:hAnsi="Times New Roman"/>
          <w:sz w:val="20"/>
        </w:rPr>
        <w:t xml:space="preserve">Under the 2024 Securities Purchase Agreement, and subject to certain exceptions, we agreed not to (i) issue, enter into any agreement to issue or announce the issuance or proposed issuance of any shares of our common stock or common stock equivalents, or (ii) file any registration statement or amendment or supplement thereto, until the later of (x) 90 days following the initial closing date of the 2024 Private Placement and (y) the effective date of the registration statement covering the resale of the 2024 Shares and shares of common stock underlying the 2024 Warrants. We also agreed not to effect or enter into an agreement to effect any issuance of common stock or common stock equivalents involving a Variable Rate Transaction (as defined in the 2024 Securities Purchase Agreement) until the earlier of one year following the initial closing of the 2024 Private Placement and the date that no Common Warrants are outstanding. </w:t>
      </w:r>
    </w:p>
    <w:p>
      <w:pPr>
        <w:pStyle w:val="TextBody"/>
        <w:bidi w:val="0"/>
        <w:spacing w:before="240" w:after="0"/>
        <w:jc w:val="both"/>
        <w:rPr>
          <w:rFonts w:ascii="Times New Roman" w:hAnsi="Times New Roman"/>
          <w:sz w:val="20"/>
        </w:rPr>
      </w:pPr>
      <w:r>
        <w:rPr>
          <w:rFonts w:ascii="Times New Roman" w:hAnsi="Times New Roman"/>
          <w:sz w:val="20"/>
        </w:rPr>
        <w:t xml:space="preserve">The 2024 Pre-Funded Warrants have an exercise price of $0.0001 per share, are exercisable immediately upon issuance and remain exercisable until exercised in full. On January 28, 2026, the 2024 Pre-Funded Warrants associated with Deerfield Partners L.P. were exercised in full. </w:t>
      </w:r>
    </w:p>
    <w:p>
      <w:pPr>
        <w:pStyle w:val="TextBody"/>
        <w:bidi w:val="0"/>
        <w:spacing w:before="240" w:after="0"/>
        <w:jc w:val="both"/>
        <w:rPr>
          <w:rFonts w:ascii="Times New Roman" w:hAnsi="Times New Roman"/>
          <w:sz w:val="20"/>
        </w:rPr>
      </w:pPr>
      <w:r>
        <w:rPr>
          <w:rFonts w:ascii="Times New Roman" w:hAnsi="Times New Roman"/>
          <w:sz w:val="20"/>
        </w:rPr>
        <w:t xml:space="preserve">The Tranche A Common Warrants were exercisable immediately upon issuance and had an expiration date on the earlier of (i) 5:00 p.m. (New York City time) on December 31, 2024 and (ii) 30 days following our public disclosure of topline results from our Phase 2b clinical trial in patients with acute pancreatitis (also referred to as the “CARPO” trial). The Tranche A Common Warrants were exercisable for shares of our common stock (or, for certain investors, in lieu of shares, 2024 Pre-Funded Warrants) at an exercise price per share equal to $5.36 (or $5.3599 per 2024 Pre-Funded Warrant). The Tranche A Common Warrants expired, unexercised on July 27, 2024. </w:t>
      </w:r>
    </w:p>
    <w:p>
      <w:pPr>
        <w:pStyle w:val="TextBody"/>
        <w:bidi w:val="0"/>
        <w:spacing w:before="240" w:after="0"/>
        <w:jc w:val="both"/>
        <w:rPr>
          <w:rFonts w:ascii="Times New Roman" w:hAnsi="Times New Roman"/>
          <w:sz w:val="20"/>
        </w:rPr>
      </w:pPr>
      <w:r>
        <w:rPr>
          <w:rFonts w:ascii="Times New Roman" w:hAnsi="Times New Roman"/>
          <w:sz w:val="20"/>
        </w:rPr>
        <w:t xml:space="preserve">The Tranche B Common Warrants are exercisable immediately upon issuance and will expire on the earlier of (i) 5:00 p.m. (New York City time) on December 31, 2026 and (ii) 30 days following our public disclosure of topline results from our Phase 2 clinical trial in patients with acute kidney injury. The Tranche B Common Warrants may be exercised to purchase shares of our common stock (or, for certain investors, in lieu of shares, 2024 Pre-Funded Warrants) at an exercise price per share equal to $7.15 (or $7.1499 per 2024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 holder of 2024 Warrants may not exercise any portion of such 2024 Warrants for shares of common stock to the extent that the holder would beneficially own more than 4.99% (or, at the election of the holder 9.99% or 19.99%) of our outstanding common stock immediately after exercise. </w:t>
      </w:r>
    </w:p>
    <w:p>
      <w:pPr>
        <w:pStyle w:val="TextBody"/>
        <w:bidi w:val="0"/>
        <w:spacing w:before="240" w:after="0"/>
        <w:jc w:val="both"/>
        <w:rPr>
          <w:rFonts w:ascii="Times New Roman" w:hAnsi="Times New Roman"/>
          <w:sz w:val="20"/>
        </w:rPr>
      </w:pPr>
      <w:r>
        <w:rPr>
          <w:rFonts w:ascii="Times New Roman" w:hAnsi="Times New Roman"/>
          <w:sz w:val="20"/>
        </w:rPr>
        <w:t xml:space="preserve">The initial closing of the 2024 Private Placement occurred on January 23, 2024 and the second closing occurred on February 5, 2024. Gross proceeds from the 2024 Private Placement were $20.4 million.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purchases in the 2024 Private Placement by members of our Board, entities affiliated with our executive officers and members of our Board and beneficial owners of more than 5% of our common stock. </w:t>
      </w:r>
    </w:p>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3770"/>
        <w:gridCol w:w="120"/>
        <w:gridCol w:w="140"/>
        <w:gridCol w:w="1280"/>
        <w:gridCol w:w="60"/>
        <w:gridCol w:w="120"/>
        <w:gridCol w:w="92"/>
        <w:gridCol w:w="1503"/>
        <w:gridCol w:w="60"/>
        <w:gridCol w:w="120"/>
        <w:gridCol w:w="92"/>
        <w:gridCol w:w="1503"/>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Participants</w:t>
            </w:r>
          </w:p>
        </w:tc>
        <w:tc>
          <w:tcPr>
            <w:tcW w:w="12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Purchase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 Stock</w:t>
              <w:br/>
              <w:t>Underlying</w:t>
              <w:br/>
              <w:t>Warrants(1)</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Deerfield Partners, L.P.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4,999,967.81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1,613,012</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Soleus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3,000,000.60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783,904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783,904</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Sanderling Ventures(2)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2,600,002.56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679,384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679,384</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Stonepine Capital, LP</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1,999,997.85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522,602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522,602</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400,004.17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91,086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91,086</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400,004.17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91,086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91,086</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300,000.93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68,314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68,314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305"/>
        <w:gridCol w:w="8585"/>
      </w:tblGrid>
      <w:tr>
        <w:trPr/>
        <w:tc>
          <w:tcPr>
            <w:tcW w:w="305" w:type="dxa"/>
            <w:tcBorders/>
            <w:vAlign w:val="center"/>
          </w:tcPr>
          <w:p>
            <w:pPr>
              <w:pStyle w:val="TableContents"/>
              <w:bidi w:val="0"/>
              <w:spacing w:before="0" w:after="283"/>
              <w:jc w:val="left"/>
              <w:rPr/>
            </w:pPr>
            <w:r>
              <w:rPr/>
              <w:t>(1)</w:t>
            </w:r>
          </w:p>
        </w:tc>
        <w:tc>
          <w:tcPr>
            <w:tcW w:w="8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shares of our common stock underlying 2024 Pre-Funded Warrants and/or Common Warrants.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(i) Sanderling Venture Partners VI, LP, (ii) Sanderling Venture Partners VI Co-Investment Fund, L.P., (iii) Sanderling Ventures Management VI, (iv) Sanderling Ventures VII, L.P., (v) Sanderling Ventures VII Annex Fund, L.P., (vi) Sanderling Ventures VII (Canada), LP, and (vii) Sanderling Venture Management VII.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2026 Private Placement </w:t>
      </w:r>
    </w:p>
    <w:p>
      <w:pPr>
        <w:pStyle w:val="TextBody"/>
        <w:bidi w:val="0"/>
        <w:spacing w:before="120" w:after="0"/>
        <w:jc w:val="both"/>
        <w:rPr>
          <w:rFonts w:ascii="Times New Roman" w:hAnsi="Times New Roman"/>
          <w:sz w:val="20"/>
        </w:rPr>
      </w:pPr>
      <w:r>
        <w:rPr>
          <w:rFonts w:ascii="Times New Roman" w:hAnsi="Times New Roman"/>
          <w:sz w:val="20"/>
        </w:rPr>
        <w:t xml:space="preserve">On June 23, 2026, we and certain accredited investors (each an “Investor” and collectively, the “Investors”) entered into a securities purchase agreement (the “2026 Securities Purchase Agreement”) pursuant to which we sold an aggregate of (i) 14,938,370 shares (the “2026 Shares”) of our common stock and (ii) to certain investors, in lieu of 2026 Shares, pre-funded warrants (the “2026 Pre-Funded Warrants”) to purchase an aggregate of 3,735,059 shares of our common stock, together with (iii) rights to receive, upon receipt of Stockholder Approval, Series A Warrants to purchase an aggregate of up to 18,673,429 shares of our common stock and (iv) rights to receive, upon receipt of Stockholder Approval, Series B Warrants (together with the Series A Warrants, the “2026 Common Warrants”) to purchase an aggregate of up to 18,673,429 shares of our common stock, in a private placement transaction (the “2026 Private Placement”). The aggregate purchase price per Unit (defined as one share of common stock or one 2026 Pre-Funded Warrant, as applicable, together with rights to receive one Series A Warrant and one Series B Warrant) was $0.8033 (or $0.8032 per Unit comprised of a 2026 Pre-Funded Warrant). The Series A Warrants have an exercise price equal to $0.8033 per share. The Series B Warrants have an exercise price equal to $1.00 per share.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2026 Securities Purchase Agreement we agreed to file a resale registration statement registering the resale of the 2026 Shares and the shares of our common stock underlying the 2026 Common Warrants and 2026 Pre-Funded Warrants (collectively, the “2026 Warrants”) within 30 days after the closing of the 2026 Private Placement. We are required to use our reasonable best efforts to have such resale registration statement declared effective within the time periods specified in the 2026 Securities Purchase Agreement and to keep the resale registration statement continuously effective until all registrable securities covered thereunder have been sold or may be sold without volume or manner-of-sale restrictions pursuant to Rule 144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2026 Securities Purchase Agreement, and subject to certain exceptions, we agreed not to (i) issue, enter into any agreement to issue or announce the issuance or proposed issuance of any shares of our common stock or common stock equivalents, or (ii) file any registration statement or amendment or supplement thereto, until 60 days after the date on which the resale registration statement covering the 2026 Shares and shares of common stock underlying the 2026 Warrants is declared effective. We also agreed not to effect or enter into an agreement to effect any issuance of common stock or common stock equivalents involving a Variable Rate Transaction (as defined in the 2026 Securities Purchase Agreement) until 180 days after the date on which such resale registration statement is declared effective. </w:t>
      </w:r>
    </w:p>
    <w:p>
      <w:pPr>
        <w:pStyle w:val="TextBody"/>
        <w:bidi w:val="0"/>
        <w:spacing w:before="240" w:after="0"/>
        <w:jc w:val="both"/>
        <w:rPr>
          <w:rFonts w:ascii="Times New Roman" w:hAnsi="Times New Roman"/>
          <w:sz w:val="20"/>
        </w:rPr>
      </w:pPr>
      <w:r>
        <w:rPr>
          <w:rFonts w:ascii="Times New Roman" w:hAnsi="Times New Roman"/>
          <w:sz w:val="20"/>
        </w:rPr>
        <w:t xml:space="preserve">The 2026 Pre-Funded Warrants have an exercise price of $0.0001 per share, are exercisable immediately upon issuance and remain exercisable until exercised in full. If a registration statement covering the resale of the shares of common stock underlying the 2026 Pre-Funded Warrants is not available, the 2026 Pre-Funded Warrants may also be exercisable on a net exercise “cashless” basis. The 2026 Pre-Funded Warrants may not be exercised if the aggregate number of shares of common stock beneficially owned by the holder thereof immediately following such exercise would exceed a specified beneficial ownership limitation, not to exceed 19.99%. </w:t>
      </w:r>
    </w:p>
    <w:p>
      <w:pPr>
        <w:pStyle w:val="TextBody"/>
        <w:bidi w:val="0"/>
        <w:spacing w:before="240" w:after="0"/>
        <w:jc w:val="both"/>
        <w:rPr>
          <w:rFonts w:ascii="Times New Roman" w:hAnsi="Times New Roman"/>
          <w:sz w:val="20"/>
        </w:rPr>
      </w:pPr>
      <w:r>
        <w:rPr>
          <w:rFonts w:ascii="Times New Roman" w:hAnsi="Times New Roman"/>
          <w:sz w:val="20"/>
        </w:rPr>
        <w:t xml:space="preserve">The Series A Warrants will be issued upon receipt of Stockholder Approval, will be exercisable immediately upon issuance and will expire on the earlier of (i) December 25, 2027 and (ii) 30 days following our public announcement of the clearance of an IND by the FDA for CM5480. </w:t>
      </w:r>
    </w:p>
    <w:p>
      <w:pPr>
        <w:pStyle w:val="TextBody"/>
        <w:bidi w:val="0"/>
        <w:spacing w:before="240" w:after="0"/>
        <w:jc w:val="both"/>
        <w:rPr>
          <w:rFonts w:ascii="Times New Roman" w:hAnsi="Times New Roman"/>
          <w:sz w:val="20"/>
        </w:rPr>
      </w:pPr>
      <w:r>
        <w:rPr>
          <w:rFonts w:ascii="Times New Roman" w:hAnsi="Times New Roman"/>
          <w:sz w:val="20"/>
        </w:rPr>
        <w:t xml:space="preserve">The Series B Warrants will be issued upon receipt of Stockholder Approval, will be exercisable immediately upon issuance and will expire June 25, 2031. </w:t>
      </w:r>
    </w:p>
    <w:p>
      <w:pPr>
        <w:pStyle w:val="TextBody"/>
        <w:bidi w:val="0"/>
        <w:spacing w:before="240" w:after="0"/>
        <w:jc w:val="both"/>
        <w:rPr>
          <w:rFonts w:ascii="Times New Roman" w:hAnsi="Times New Roman"/>
          <w:sz w:val="20"/>
        </w:rPr>
      </w:pPr>
      <w:r>
        <w:rPr>
          <w:rFonts w:ascii="Times New Roman" w:hAnsi="Times New Roman"/>
          <w:sz w:val="20"/>
        </w:rPr>
        <w:t xml:space="preserve">If a registration statement covering the resale of the shares of common stock underlying the 2026 Common Warrants is not available, the 2026 Common Warrants may also be exercisable on a net exercise “cashless” basis. A holder of 2026 Common Warrants may not exercise any portion of such 2026 Common Warrants for shares of common stock if the aggregate number of shares of common stock beneficially owned by the holder thereof immediately following such exercise would exceed a specified beneficial ownership limitation, not to exceed 19.99%. To the extent that exercise of the 2026 Common Warrants will result in a holder thereof beneficially owning shares of common stock above such ownership limitations, the holder may exercise its 2026 Common Warrants for pre-funded warrants to purchase shares of common stock. Such pre-funded warrants will have terms substantially similar to the 2026 Pre-Funded Warrants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The closing of the 2026 Private Placement occurred on June 25, 2026. Upfront gross proceeds from the 2026 Private Placement were approximately $15 million.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purchases in the 2026 Private Placement by members of our Board, entities affiliated with our executive officers and members of our Board and beneficial owners of more than 5% of our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5"/>
        <w:gridCol w:w="60"/>
        <w:gridCol w:w="204"/>
        <w:gridCol w:w="1871"/>
        <w:gridCol w:w="60"/>
        <w:gridCol w:w="60"/>
        <w:gridCol w:w="60"/>
        <w:gridCol w:w="980"/>
        <w:gridCol w:w="60"/>
        <w:gridCol w:w="60"/>
        <w:gridCol w:w="113"/>
        <w:gridCol w:w="1857"/>
        <w:gridCol w:w="60"/>
        <w:gridCol w:w="60"/>
        <w:gridCol w:w="113"/>
        <w:gridCol w:w="1857"/>
        <w:gridCol w:w="75"/>
      </w:tblGrid>
      <w:tr>
        <w:trPr/>
        <w:tc>
          <w:tcPr>
            <w:tcW w:w="2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Participants</w:t>
            </w:r>
          </w:p>
        </w:tc>
        <w:tc>
          <w:tcPr>
            <w:tcW w:w="6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 Purchase</w:t>
            </w:r>
            <w:r>
              <w:rPr/>
              <w:br/>
            </w:r>
            <w:r>
              <w:rPr>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Common</w:t>
              <w:br/>
              <w:t>Stock Underlying</w:t>
              <w:br/>
              <w:t>Series A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Common</w:t>
              <w:br/>
              <w:t>Stock Underlying</w:t>
              <w:br/>
              <w:t>Series B Warrants</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149,999.41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186,729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186,729</w:t>
            </w:r>
          </w:p>
        </w:tc>
        <w:tc>
          <w:tcPr>
            <w:tcW w:w="75" w:type="dxa"/>
            <w:tcBorders/>
            <w:shd w:fill="CCEEFF" w:val="clear"/>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Alafi Capital Company, LLC</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283"/>
              <w:jc w:val="right"/>
              <w:rPr/>
            </w:pPr>
            <w:r>
              <w:rPr/>
              <w:t>2,834,999.93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3,529,192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3,529,192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3,529,192</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Bering Partners II, L.P.</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1,164,999.48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1,450,267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1,450,267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1,450,267</w:t>
            </w:r>
          </w:p>
        </w:tc>
        <w:tc>
          <w:tcPr>
            <w:tcW w:w="75" w:type="dxa"/>
            <w:tcBorders/>
            <w:shd w:fill="CCEEFF" w:val="clear"/>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W. Roberts</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283"/>
              <w:jc w:val="right"/>
              <w:rPr/>
            </w:pPr>
            <w:r>
              <w:rPr/>
              <w:t>149,999.41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186,729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186,729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186,729</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N. Wilson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949,999.45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1,182,621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1,182,621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1,182,621</w:t>
            </w:r>
          </w:p>
        </w:tc>
        <w:tc>
          <w:tcPr>
            <w:tcW w:w="75" w:type="dxa"/>
            <w:tcBorders/>
            <w:shd w:fill="CCEEFF" w:val="clear"/>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Sanderling Venture Partners VI Co-Investment Fund, L.P.</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871" w:type="dxa"/>
            <w:tcBorders/>
            <w:vAlign w:val="center"/>
          </w:tcPr>
          <w:p>
            <w:pPr>
              <w:pStyle w:val="TableContents"/>
              <w:bidi w:val="0"/>
              <w:spacing w:before="0" w:after="283"/>
              <w:jc w:val="right"/>
              <w:rPr/>
            </w:pPr>
            <w:r>
              <w:rPr/>
              <w:t>199,999.21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248,972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248,972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248,972</w:t>
            </w:r>
          </w:p>
        </w:tc>
        <w:tc>
          <w:tcPr>
            <w:tcW w:w="75" w:type="dxa"/>
            <w:tcBorders/>
            <w:vAlign w:val="center"/>
          </w:tcPr>
          <w:p>
            <w:pPr>
              <w:pStyle w:val="TableContents"/>
              <w:bidi w:val="0"/>
              <w:spacing w:before="0" w:after="283"/>
              <w:jc w:val="left"/>
              <w:rPr/>
            </w:pPr>
            <w:r>
              <w:rPr/>
              <w:t> </w:t>
            </w:r>
          </w:p>
        </w:tc>
      </w:tr>
      <w:tr>
        <w:trPr/>
        <w:tc>
          <w:tcPr>
            <w:tcW w:w="2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Sudarshan Hebbar, M.D.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871" w:type="dxa"/>
            <w:tcBorders/>
            <w:shd w:fill="CCEEFF" w:val="clear"/>
            <w:vAlign w:val="center"/>
          </w:tcPr>
          <w:p>
            <w:pPr>
              <w:pStyle w:val="TableContents"/>
              <w:bidi w:val="0"/>
              <w:spacing w:before="0" w:after="283"/>
              <w:jc w:val="right"/>
              <w:rPr/>
            </w:pPr>
            <w:r>
              <w:rPr/>
              <w:t>99,999.60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124,486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124,486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indemnification agreements with each of our directors and executive officers. The indemnification agreements, our Certificate of Incorporation and our restated bylaws require us to indemnify our directors to the fullest extent not prohibited by Delaware law. Subject to certain limitations, our restated bylaws also require us to advance expenses incurred by our directors and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28288_19"/>
      <w:bookmarkEnd w:id="21"/>
      <w:r>
        <w:rPr>
          <w:rFonts w:ascii="Times New Roman" w:hAnsi="Times New Roman"/>
          <w:b/>
          <w:sz w:val="20"/>
        </w:rPr>
        <w:t xml:space="preserve">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to be Presented at Next Annual Meeting </w:t>
      </w:r>
    </w:p>
    <w:p>
      <w:pPr>
        <w:pStyle w:val="TextBody"/>
        <w:bidi w:val="0"/>
        <w:spacing w:before="120" w:after="0"/>
        <w:jc w:val="both"/>
        <w:rPr>
          <w:rFonts w:ascii="Times New Roman" w:hAnsi="Times New Roman"/>
          <w:sz w:val="20"/>
        </w:rPr>
      </w:pPr>
      <w:r>
        <w:rPr>
          <w:rFonts w:ascii="Times New Roman" w:hAnsi="Times New Roman"/>
          <w:i/>
          <w:sz w:val="20"/>
        </w:rPr>
        <w:t>Requirements for Stockholder Proposals to be Brought Before an Annual Meeting</w:t>
      </w:r>
      <w:r>
        <w:rPr>
          <w:rFonts w:ascii="Times New Roman" w:hAnsi="Times New Roman"/>
          <w:sz w:val="20"/>
        </w:rPr>
        <w:t xml:space="preserve">. Our bylaws provide that for stockholder nominations to our Board of Directors or other proposals to be considered at an annual meeting of stockholders, the stockholder must give timely notice thereof in writing to the Corporate Secretary at CalciMedica, Inc., 505 Coast Boulevard South, Suite 300-9, La Jolla, CA 92037. </w:t>
      </w:r>
    </w:p>
    <w:p>
      <w:pPr>
        <w:pStyle w:val="TextBody"/>
        <w:bidi w:val="0"/>
        <w:spacing w:before="240" w:after="0"/>
        <w:jc w:val="both"/>
        <w:rPr>
          <w:rFonts w:ascii="Times New Roman" w:hAnsi="Times New Roman"/>
          <w:sz w:val="20"/>
        </w:rPr>
      </w:pPr>
      <w:r>
        <w:rPr>
          <w:rFonts w:ascii="Times New Roman" w:hAnsi="Times New Roman"/>
          <w:sz w:val="20"/>
        </w:rPr>
        <w:t xml:space="preserve">To be timely for our company’s annual meeting of stockholders to be held in 2027 (the “2027 Annual Meeting”), a stockholder’s notice must be delivered to or mailed and received by our Corporate Secretary at our principal executive offices not earlier than 5:00 p.m. Eastern Time on May 6, 2027 and not later than 5:00 p.m. Eastern Time on June 5, 2027. A stockholder’s notice to the Corporate Secretary must set forth as to each matter the stockholder proposes to bring before the 2027 Annual Meeting the information required by applicable law and our bylaws. However, if the date of the 2027 Annual Meeting is more than 30 days before or more than 60 days after the one-year anniversary of the date of our 2026 Annual Meeting, for the stockholder notice to be timely, it must be delivered to the Corporate Secretary at our principal executive offices not earlier than 5:00 p.m. Eastern Time on the 105th day prior to the date of the 2027 Annual Meeting and not later than 5:00 p.m. Eastern Time on the later of (1) the 90th day prior to such annual meeting or (2) the close of business on the tenth day following the day on which public announcement of the date of such meeting is first made by us. </w:t>
      </w:r>
    </w:p>
    <w:p>
      <w:pPr>
        <w:pStyle w:val="TextBody"/>
        <w:bidi w:val="0"/>
        <w:spacing w:before="240" w:after="0"/>
        <w:jc w:val="both"/>
        <w:rPr>
          <w:rFonts w:ascii="Times New Roman" w:hAnsi="Times New Roman"/>
          <w:sz w:val="20"/>
        </w:rPr>
      </w:pPr>
      <w:r>
        <w:rPr>
          <w:rFonts w:ascii="Times New Roman" w:hAnsi="Times New Roman"/>
          <w:i/>
          <w:sz w:val="20"/>
        </w:rPr>
        <w:t>Requirements for Stockholder Proposals to be Considered for Inclusion in our Proxy Materials</w:t>
      </w:r>
      <w:r>
        <w:rPr>
          <w:rFonts w:ascii="Times New Roman" w:hAnsi="Times New Roman"/>
          <w:sz w:val="20"/>
        </w:rPr>
        <w:t xml:space="preserve">. Stockholder proposals submitted pursuant to Rule 14a-8 under the Exchange Act and intended to be presented at our 2027 Annual Meeting must be received by us not later than March 25, 2027 in order to be considered for inclusion in our proxy materials for that meeting. A stockholder’s notice to the Corporate Secretary must set forth as to each matter the stockholder proposes to bring before the 2027 Annual Meeting the information required by applicable law and our bylaws.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stockholders who intend to solicit proxies in support of director nominees other than our nominees must provide in their notice any additional information required by Rule 14a-19(b)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make available, free of charge on our website, all of our filings that are made electronically with the SEC, including Forms 10-K, 10-Q and 8-K. To access these filings, go to our website at ir.calcimedica.com and click on “Financials and Filings” under the “Investors” heading. The information on our website is not incorporated by reference into this Proxy Statement or our Annual Report on Form 10-K. </w:t>
      </w:r>
    </w:p>
    <w:p>
      <w:pPr>
        <w:pStyle w:val="TextBody"/>
        <w:bidi w:val="0"/>
        <w:spacing w:before="240" w:after="0"/>
        <w:jc w:val="both"/>
        <w:rPr>
          <w:rFonts w:ascii="Times New Roman" w:hAnsi="Times New Roman"/>
          <w:sz w:val="20"/>
        </w:rPr>
      </w:pPr>
      <w:r>
        <w:rPr>
          <w:rFonts w:ascii="Times New Roman" w:hAnsi="Times New Roman"/>
          <w:sz w:val="20"/>
        </w:rPr>
        <w:t xml:space="preserve">We will mail without charge, upon written request, a copy of our Annual Report on Form 10-K for the year ended December 31, 2025, including the financial statements and list of exhibits, and any exhibit specifically requested. Requests should be sent to: </w:t>
      </w:r>
    </w:p>
    <w:p>
      <w:pPr>
        <w:pStyle w:val="TextBody"/>
        <w:bidi w:val="0"/>
        <w:spacing w:before="240" w:after="0"/>
        <w:jc w:val="center"/>
        <w:rPr>
          <w:rFonts w:ascii="Times New Roman" w:hAnsi="Times New Roman"/>
          <w:sz w:val="20"/>
        </w:rPr>
      </w:pPr>
      <w:r>
        <w:rPr>
          <w:rFonts w:ascii="Times New Roman" w:hAnsi="Times New Roman"/>
          <w:sz w:val="20"/>
        </w:rPr>
        <w:t xml:space="preserve">CalciMedica, Inc. </w:t>
      </w:r>
    </w:p>
    <w:p>
      <w:pPr>
        <w:pStyle w:val="TextBody"/>
        <w:bidi w:val="0"/>
        <w:spacing w:before="0" w:after="0"/>
        <w:jc w:val="center"/>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center"/>
        <w:rPr>
          <w:rFonts w:ascii="Times New Roman" w:hAnsi="Times New Roman"/>
          <w:sz w:val="20"/>
        </w:rPr>
      </w:pPr>
      <w:r>
        <w:rPr>
          <w:rFonts w:ascii="Times New Roman" w:hAnsi="Times New Roman"/>
          <w:sz w:val="20"/>
        </w:rPr>
        <w:t xml:space="preserve">La Jolla, CA 92037 </w:t>
      </w:r>
    </w:p>
    <w:p>
      <w:pPr>
        <w:pStyle w:val="TextBody"/>
        <w:bidi w:val="0"/>
        <w:spacing w:before="360" w:after="0"/>
        <w:jc w:val="left"/>
        <w:rPr/>
      </w:pPr>
      <w:r>
        <w:rPr/>
        <w:t>“</w:t>
      </w:r>
      <w:r>
        <w:rPr>
          <w:rFonts w:ascii="Times New Roman" w:hAnsi="Times New Roman"/>
          <w:b/>
          <w:sz w:val="20"/>
        </w:rPr>
        <w:t xml:space="preserve">Householding”—Stockholders Sharing the Same Address </w:t>
      </w:r>
    </w:p>
    <w:p>
      <w:pPr>
        <w:pStyle w:val="TextBody"/>
        <w:bidi w:val="0"/>
        <w:spacing w:before="120" w:after="0"/>
        <w:jc w:val="both"/>
        <w:rPr>
          <w:rFonts w:ascii="Times New Roman" w:hAnsi="Times New Roman"/>
          <w:sz w:val="20"/>
        </w:rPr>
      </w:pPr>
      <w:r>
        <w:rPr>
          <w:rFonts w:ascii="Times New Roman" w:hAnsi="Times New Roman"/>
          <w:sz w:val="20"/>
        </w:rPr>
        <w:t xml:space="preserve">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unless the affected stockholder has provided other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expect that a number of brokers with account holders who are our stockholders will be “householding” our Annual Report on Form 10-K and proxy materials.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 Stockholders may revoke their consent at any time by contacting Equiniti Trust Company, LLC, through their website at www.equiniti.com or by phone at (800) 468-9716. </w:t>
      </w:r>
    </w:p>
    <w:p>
      <w:pPr>
        <w:pStyle w:val="TextBody"/>
        <w:bidi w:val="0"/>
        <w:spacing w:before="240" w:after="0"/>
        <w:jc w:val="both"/>
        <w:rPr>
          <w:rFonts w:ascii="Times New Roman" w:hAnsi="Times New Roman"/>
          <w:sz w:val="20"/>
        </w:rPr>
      </w:pPr>
      <w:r>
        <w:rPr>
          <w:rFonts w:ascii="Times New Roman" w:hAnsi="Times New Roman"/>
          <w:sz w:val="20"/>
        </w:rPr>
        <w:t xml:space="preserve">Upon written or oral request, we will undertake to promptly deliver a separate copy of this Proxy Statement, proxy card, Annual Report on Form 10-K and other proxy materials to any stockholder at a shared address to which a single copy of any of those documents was delivered. To receive a separate copy of the proxy statement, proxy card and, if applicable, Annual Report on Form 10-K and other proxy materials, you may write our Investor Relations Department at CalciMedica, Inc., 505 Coast Boulevard South, Suite 300-9 La Jolla, CA 92037, Attn: Investor Relations, or submit a request on our website at ir.calcimedica.com/ or calcimedica@argotpartners.com. </w:t>
      </w:r>
    </w:p>
    <w:p>
      <w:pPr>
        <w:pStyle w:val="TextBody"/>
        <w:bidi w:val="0"/>
        <w:spacing w:before="240" w:after="0"/>
        <w:jc w:val="both"/>
        <w:rPr>
          <w:rFonts w:ascii="Times New Roman" w:hAnsi="Times New Roman"/>
          <w:sz w:val="20"/>
        </w:rPr>
      </w:pPr>
      <w:r>
        <w:rPr>
          <w:rFonts w:ascii="Times New Roman" w:hAnsi="Times New Roman"/>
          <w:sz w:val="20"/>
        </w:rPr>
        <w:t xml:space="preserve">Any stockholders who share the same address and currently receive multiple copies of our Annual Report on Form 10-K and other proxy materials who wish to receive only one copy in the future can contact their bank, broker or other holder of record to request information about “householding” or our Investor Relations Department at the address listed above. </w:t>
      </w:r>
    </w:p>
    <w:p>
      <w:pPr>
        <w:pStyle w:val="TextBody"/>
        <w:bidi w:val="0"/>
        <w:spacing w:before="480" w:after="0"/>
        <w:jc w:val="center"/>
        <w:rPr>
          <w:rFonts w:ascii="Times New Roman" w:hAnsi="Times New Roman"/>
          <w:b/>
          <w:sz w:val="20"/>
        </w:rPr>
      </w:pPr>
      <w:bookmarkStart w:id="22" w:name="toc28288_20"/>
      <w:bookmarkEnd w:id="22"/>
      <w:r>
        <w:rPr>
          <w:rFonts w:ascii="Times New Roman" w:hAnsi="Times New Roman"/>
          <w:b/>
          <w:sz w:val="20"/>
        </w:rPr>
        <w:t xml:space="preserve">OTHER MATTERS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does not presently intend to bring any other business before the Annual Meeting and, so far as is known to the Board of Directors, no matters are to be brought before the Annual Meeting except as specified in the notice of the Annual Meeting. As to any business that may arise and properly come before the Annual Meeting, however, it is intended that proxies, in the form enclosed, will be voted in respect thereof in accordance with the judgment of the persons voting such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28288_21"/>
      <w:bookmarkEnd w:id="23"/>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C</w:t>
      </w:r>
      <w:r>
        <w:rPr>
          <w:rFonts w:ascii="Times New Roman" w:hAnsi="Times New Roman"/>
          <w:b/>
          <w:sz w:val="20"/>
          <w:u w:val="single"/>
        </w:rPr>
        <w:t>ALCI</w:t>
      </w:r>
      <w:r>
        <w:rPr>
          <w:rFonts w:ascii="Times New Roman" w:hAnsi="Times New Roman"/>
          <w:b/>
          <w:sz w:val="20"/>
        </w:rPr>
        <w:t>M</w:t>
      </w:r>
      <w:r>
        <w:rPr>
          <w:rFonts w:ascii="Times New Roman" w:hAnsi="Times New Roman"/>
          <w:b/>
          <w:sz w:val="20"/>
          <w:u w:val="single"/>
        </w:rPr>
        <w:t>EDICA</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2023 E</w:t>
      </w:r>
      <w:r>
        <w:rPr>
          <w:rFonts w:ascii="Times New Roman" w:hAnsi="Times New Roman"/>
          <w:b/>
          <w:sz w:val="20"/>
          <w:u w:val="single"/>
        </w:rPr>
        <w:t>QUITY</w:t>
      </w:r>
      <w:r>
        <w:rPr>
          <w:rFonts w:ascii="Times New Roman" w:hAnsi="Times New Roman"/>
          <w:b/>
          <w:sz w:val="20"/>
        </w:rPr>
        <w:t xml:space="preserve"> I</w:t>
      </w:r>
      <w:r>
        <w:rPr>
          <w:rFonts w:ascii="Times New Roman" w:hAnsi="Times New Roman"/>
          <w:b/>
          <w:sz w:val="20"/>
          <w:u w:val="single"/>
        </w:rPr>
        <w:t>NCENTIVE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O</w:t>
      </w:r>
      <w:r>
        <w:rPr>
          <w:rFonts w:ascii="Times New Roman" w:hAnsi="Times New Roman"/>
          <w:b/>
          <w:sz w:val="20"/>
          <w:u w:val="single"/>
        </w:rPr>
        <w:t>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F</w:t>
      </w:r>
      <w:r>
        <w:rPr>
          <w:rFonts w:ascii="Times New Roman" w:hAnsi="Times New Roman"/>
          <w:b/>
          <w:sz w:val="20"/>
          <w:u w:val="single"/>
        </w:rPr>
        <w:t>EBRUARY</w:t>
      </w:r>
      <w:r>
        <w:rPr>
          <w:rFonts w:ascii="Times New Roman" w:hAnsi="Times New Roman"/>
          <w:b/>
          <w:sz w:val="20"/>
        </w:rPr>
        <w:t xml:space="preserve"> 5, 2023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M</w:t>
      </w:r>
      <w:r>
        <w:rPr>
          <w:rFonts w:ascii="Times New Roman" w:hAnsi="Times New Roman"/>
          <w:b/>
          <w:sz w:val="20"/>
          <w:u w:val="single"/>
        </w:rPr>
        <w:t>ARCH</w:t>
      </w:r>
      <w:r>
        <w:rPr>
          <w:rFonts w:ascii="Times New Roman" w:hAnsi="Times New Roman"/>
          <w:b/>
          <w:sz w:val="20"/>
        </w:rPr>
        <w:t xml:space="preserve"> 15, 2023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O</w:t>
      </w:r>
      <w:r>
        <w:rPr>
          <w:rFonts w:ascii="Times New Roman" w:hAnsi="Times New Roman"/>
          <w:b/>
          <w:sz w:val="20"/>
          <w:u w:val="single"/>
        </w:rPr>
        <w:t>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M</w:t>
      </w:r>
      <w:r>
        <w:rPr>
          <w:rFonts w:ascii="Times New Roman" w:hAnsi="Times New Roman"/>
          <w:b/>
          <w:sz w:val="20"/>
          <w:u w:val="single"/>
        </w:rPr>
        <w:t>ARCH</w:t>
      </w:r>
      <w:r>
        <w:rPr>
          <w:rFonts w:ascii="Times New Roman" w:hAnsi="Times New Roman"/>
          <w:b/>
          <w:sz w:val="20"/>
        </w:rPr>
        <w:t xml:space="preserve"> 28,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A</w:t>
      </w:r>
      <w:r>
        <w:rPr>
          <w:rFonts w:ascii="Times New Roman" w:hAnsi="Times New Roman"/>
          <w:b/>
          <w:sz w:val="20"/>
          <w:u w:val="single"/>
        </w:rPr>
        <w:t>UGUST</w:t>
      </w:r>
      <w:r>
        <w:rPr>
          <w:rFonts w:ascii="Times New Roman" w:hAnsi="Times New Roman"/>
          <w:b/>
          <w:sz w:val="20"/>
        </w:rPr>
        <w:t xml:space="preserve"> 27,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A</w:t>
      </w:r>
      <w:r>
        <w:rPr>
          <w:rFonts w:ascii="Times New Roman" w:hAnsi="Times New Roman"/>
          <w:b/>
          <w:sz w:val="20"/>
          <w:u w:val="single"/>
        </w:rPr>
        <w:t>PRIL</w:t>
      </w:r>
      <w:r>
        <w:rPr>
          <w:rFonts w:ascii="Times New Roman" w:hAnsi="Times New Roman"/>
          <w:b/>
          <w:sz w:val="20"/>
        </w:rPr>
        <w:t xml:space="preserve"> 23, 2025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J</w:t>
      </w:r>
      <w:r>
        <w:rPr>
          <w:rFonts w:ascii="Times New Roman" w:hAnsi="Times New Roman"/>
          <w:b/>
          <w:sz w:val="20"/>
          <w:u w:val="single"/>
        </w:rPr>
        <w:t>UNE</w:t>
      </w:r>
      <w:r>
        <w:rPr>
          <w:rFonts w:ascii="Times New Roman" w:hAnsi="Times New Roman"/>
          <w:b/>
          <w:sz w:val="20"/>
        </w:rPr>
        <w:t xml:space="preserve"> 24, 2025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J</w:t>
      </w:r>
      <w:r>
        <w:rPr>
          <w:rFonts w:ascii="Times New Roman" w:hAnsi="Times New Roman"/>
          <w:b/>
          <w:sz w:val="20"/>
          <w:u w:val="single"/>
        </w:rPr>
        <w:t>ULY</w:t>
      </w:r>
      <w:r>
        <w:rPr>
          <w:rFonts w:ascii="Times New Roman" w:hAnsi="Times New Roman"/>
          <w:b/>
          <w:sz w:val="20"/>
        </w:rPr>
        <w:t xml:space="preserve"> 20, 2026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 2026 </w:t>
      </w:r>
    </w:p>
    <w:p>
      <w:pPr>
        <w:pStyle w:val="TextBody"/>
        <w:bidi w:val="0"/>
        <w:spacing w:before="120" w:after="0"/>
        <w:jc w:val="center"/>
        <w:rPr>
          <w:rFonts w:ascii="Times New Roman" w:hAnsi="Times New Roman"/>
          <w:b/>
          <w:sz w:val="20"/>
        </w:rPr>
      </w:pPr>
      <w:r>
        <w:rPr>
          <w:rFonts w:ascii="Times New Roman" w:hAnsi="Times New Roman"/>
          <w:b/>
          <w:sz w:val="20"/>
        </w:rPr>
        <w:t>T</w:t>
      </w:r>
      <w:r>
        <w:rPr>
          <w:rFonts w:ascii="Times New Roman" w:hAnsi="Times New Roman"/>
          <w:b/>
          <w:sz w:val="20"/>
          <w:u w:val="single"/>
        </w:rPr>
        <w:t>ABLE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C</w:t>
      </w:r>
      <w:r>
        <w:rPr>
          <w:rFonts w:ascii="Times New Roman" w:hAnsi="Times New Roman"/>
          <w:b/>
          <w:sz w:val="20"/>
          <w:u w:val="single"/>
        </w:rPr>
        <w:t>ONTENTS</w:t>
      </w:r>
      <w:r>
        <w:rPr>
          <w:rFonts w:ascii="Times New Roman" w:hAnsi="Times New Roman"/>
          <w:b/>
          <w:sz w:val="20"/>
        </w:rPr>
        <w:t xml:space="preserve"> </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335"/>
        <w:gridCol w:w="60"/>
        <w:gridCol w:w="7895"/>
        <w:gridCol w:w="120"/>
        <w:gridCol w:w="60"/>
        <w:gridCol w:w="515"/>
        <w:gridCol w:w="75"/>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
              <w:r>
                <w:rPr>
                  <w:rStyle w:val="InternetLink"/>
                  <w:rFonts w:ascii="Times New Roman" w:hAnsi="Times New Roman"/>
                  <w:b/>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2.</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2">
              <w:r>
                <w:rPr>
                  <w:rStyle w:val="InternetLink"/>
                  <w:rFonts w:ascii="Times New Roman" w:hAnsi="Times New Roman"/>
                  <w:b/>
                  <w:sz w:val="20"/>
                </w:rPr>
                <w:t>SHARES SUBJECT TO THE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3.</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3">
              <w:r>
                <w:rPr>
                  <w:rStyle w:val="InternetLink"/>
                  <w:rFonts w:ascii="Times New Roman" w:hAnsi="Times New Roman"/>
                  <w:b/>
                  <w:sz w:val="20"/>
                </w:rPr>
                <w:t>ELIGIBILITY AND LIMITATIONS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4.</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4">
              <w:r>
                <w:rPr>
                  <w:rStyle w:val="InternetLink"/>
                  <w:rFonts w:ascii="Times New Roman" w:hAnsi="Times New Roman"/>
                  <w:b/>
                  <w:sz w:val="20"/>
                </w:rPr>
                <w:t>OPTIONS AND STOCK APPRECIATION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5.</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5">
              <w:r>
                <w:rPr>
                  <w:rStyle w:val="InternetLink"/>
                  <w:rFonts w:ascii="Times New Roman" w:hAnsi="Times New Roman"/>
                  <w:b/>
                  <w:sz w:val="20"/>
                </w:rPr>
                <w:t>AWARDS OTHER THAN OPTIONS AND STOCK APPRECIATION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6.</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6">
              <w:r>
                <w:rPr>
                  <w:rStyle w:val="InternetLink"/>
                  <w:rFonts w:ascii="Times New Roman" w:hAnsi="Times New Roman"/>
                  <w:b/>
                  <w:sz w:val="20"/>
                </w:rPr>
                <w:t>ADJUSTMENTS UPON CHANGES IN COMMON STOCK; OTHER CORPORATE EVENTS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7.</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7">
              <w:r>
                <w:rPr>
                  <w:rStyle w:val="InternetLink"/>
                  <w:rFonts w:ascii="Times New Roman" w:hAnsi="Times New Roman"/>
                  <w:b/>
                  <w:sz w:val="20"/>
                </w:rPr>
                <w:t>ADMINISTRATION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A-9</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8.</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8">
              <w:r>
                <w:rPr>
                  <w:rStyle w:val="InternetLink"/>
                  <w:rFonts w:ascii="Times New Roman" w:hAnsi="Times New Roman"/>
                  <w:b/>
                  <w:sz w:val="20"/>
                </w:rPr>
                <w:t>TAX 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A-11</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9.</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9">
              <w:r>
                <w:rPr>
                  <w:rStyle w:val="InternetLink"/>
                  <w:rFonts w:ascii="Times New Roman" w:hAnsi="Times New Roman"/>
                  <w:b/>
                  <w:sz w:val="20"/>
                </w:rPr>
                <w:t>MISCELLANEOUS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A-12</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10.</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0">
              <w:r>
                <w:rPr>
                  <w:rStyle w:val="InternetLink"/>
                  <w:rFonts w:ascii="Times New Roman" w:hAnsi="Times New Roman"/>
                  <w:b/>
                  <w:sz w:val="20"/>
                </w:rPr>
                <w:t>COVENANTS OF 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11.</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1">
              <w:r>
                <w:rPr>
                  <w:rStyle w:val="InternetLink"/>
                  <w:rFonts w:ascii="Times New Roman" w:hAnsi="Times New Roman"/>
                  <w:b/>
                  <w:sz w:val="20"/>
                </w:rPr>
                <w:t>ADDITIONAL RULES FOR AWARDS SUBJECT TO SECTION 409A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12.</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2">
              <w:r>
                <w:rPr>
                  <w:rStyle w:val="InternetLink"/>
                  <w:rFonts w:ascii="Times New Roman" w:hAnsi="Times New Roman"/>
                  <w:b/>
                  <w:sz w:val="20"/>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13.</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3">
              <w:r>
                <w:rPr>
                  <w:rStyle w:val="InternetLink"/>
                  <w:rFonts w:ascii="Times New Roman" w:hAnsi="Times New Roman"/>
                  <w:b/>
                  <w:sz w:val="20"/>
                </w:rPr>
                <w:t>TERMINATION OF THE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b/>
              </w:rPr>
            </w:pPr>
            <w:r>
              <w:rPr>
                <w:b/>
              </w:rPr>
              <w:t>14.</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hyperlink w:anchor="appa28288_14">
              <w:r>
                <w:rPr>
                  <w:rStyle w:val="InternetLink"/>
                  <w:rFonts w:ascii="Times New Roman" w:hAnsi="Times New Roman"/>
                  <w:b/>
                  <w:sz w:val="20"/>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24" w:name="appa28288_1"/>
      <w:bookmarkEnd w:id="24"/>
      <w:r>
        <w:rPr>
          <w:rFonts w:ascii="Times New Roman" w:hAnsi="Times New Roman"/>
          <w:b/>
          <w:sz w:val="20"/>
        </w:rPr>
        <w:t>1. G</w:t>
      </w:r>
      <w:r>
        <w:rPr>
          <w:rFonts w:ascii="Times New Roman" w:hAnsi="Times New Roman"/>
          <w:b/>
          <w:sz w:val="20"/>
          <w:u w:val="single"/>
        </w:rPr>
        <w:t>ENERAL</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360" w:after="0"/>
        <w:jc w:val="left"/>
        <w:rPr>
          <w:rFonts w:ascii="Times New Roman" w:hAnsi="Times New Roman"/>
          <w:b/>
          <w:sz w:val="20"/>
        </w:rPr>
      </w:pPr>
      <w:bookmarkStart w:id="25" w:name="appa28288_2"/>
      <w:bookmarkEnd w:id="25"/>
      <w:r>
        <w:rPr>
          <w:rFonts w:ascii="Times New Roman" w:hAnsi="Times New Roman"/>
          <w:b/>
          <w:sz w:val="20"/>
        </w:rPr>
        <w:t>2. 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issued pursuant to Awards on and after August 19, 2026 will not exceed 12,333,690 shares, which is the sum of (i) 1,000,000 shares initially reserved under the Plan, (ii) 1,733,690 shares that were added pursuant to the annual automatic share increases from January 1, 2024 through January 1, 2026, (iii) 1,500,000 shares that were approved by our stockholders at the 2024 Annual Meeting of Stockholders, (iv) 600,000 shares that were approved by our stockholders at the 2025 Annual Meeting of Stockholders, and (v) 7,500,000 shares that were approved by our stockholders at the 2026 Annual Meeting of Stockholders. In addition, subject to any adjustments as necessary to implement any Capitalization Adjustments, such aggregate number of shares of Common Stock will automatically increase on January 1 of each year commencing on January 1, 2027 and ending on (and including) January 1, 2033, in an amount equal to five percent (5%) of the total number of shares of Share Reserve Increase Stock outstanding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37,001,070 shares. </w:t>
      </w:r>
    </w:p>
    <w:p>
      <w:pPr>
        <w:pStyle w:val="TextBody"/>
        <w:bidi w:val="0"/>
        <w:spacing w:before="240" w:after="0"/>
        <w:jc w:val="both"/>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360" w:after="0"/>
        <w:jc w:val="left"/>
        <w:rPr>
          <w:rFonts w:ascii="Times New Roman" w:hAnsi="Times New Roman"/>
          <w:b/>
          <w:sz w:val="20"/>
        </w:rPr>
      </w:pPr>
      <w:bookmarkStart w:id="26" w:name="appa28288_3"/>
      <w:bookmarkEnd w:id="26"/>
      <w:r>
        <w:rPr>
          <w:rFonts w:ascii="Times New Roman" w:hAnsi="Times New Roman"/>
          <w:b/>
          <w:sz w:val="20"/>
        </w:rPr>
        <w:t>3. E</w:t>
      </w:r>
      <w:r>
        <w:rPr>
          <w:rFonts w:ascii="Times New Roman" w:hAnsi="Times New Roman"/>
          <w:b/>
          <w:sz w:val="20"/>
          <w:u w:val="single"/>
        </w:rPr>
        <w:t>LIGIBILITY</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L</w:t>
      </w:r>
      <w:r>
        <w:rPr>
          <w:rFonts w:ascii="Times New Roman" w:hAnsi="Times New Roman"/>
          <w:b/>
          <w:sz w:val="20"/>
          <w:u w:val="single"/>
        </w:rPr>
        <w:t>IMITATIONS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both"/>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360" w:after="0"/>
        <w:jc w:val="left"/>
        <w:rPr>
          <w:rFonts w:ascii="Times New Roman" w:hAnsi="Times New Roman"/>
          <w:b/>
          <w:sz w:val="20"/>
        </w:rPr>
      </w:pPr>
      <w:bookmarkStart w:id="27" w:name="appa28288_4"/>
      <w:bookmarkEnd w:id="27"/>
      <w:r>
        <w:rPr>
          <w:rFonts w:ascii="Times New Roman" w:hAnsi="Times New Roman"/>
          <w:b/>
          <w:sz w:val="20"/>
        </w:rPr>
        <w:t>4.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3(b)(iii)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3(b)(iii)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Transaction and in a manner consistent with the provisions of Sections 409A and, if applicable, 424(a) of the Code.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both"/>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both"/>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360" w:after="0"/>
        <w:jc w:val="left"/>
        <w:rPr>
          <w:rFonts w:ascii="Times New Roman" w:hAnsi="Times New Roman"/>
          <w:b/>
          <w:sz w:val="20"/>
        </w:rPr>
      </w:pPr>
      <w:bookmarkStart w:id="28" w:name="appa28288_5"/>
      <w:bookmarkEnd w:id="28"/>
      <w:r>
        <w:rPr>
          <w:rFonts w:ascii="Times New Roman" w:hAnsi="Times New Roman"/>
          <w:b/>
          <w:sz w:val="20"/>
        </w:rPr>
        <w:t>5. A</w:t>
      </w:r>
      <w:r>
        <w:rPr>
          <w:rFonts w:ascii="Times New Roman" w:hAnsi="Times New Roman"/>
          <w:b/>
          <w:sz w:val="20"/>
          <w:u w:val="single"/>
        </w:rPr>
        <w:t>WARDS</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T</w:t>
      </w:r>
      <w:r>
        <w:rPr>
          <w:rFonts w:ascii="Times New Roman" w:hAnsi="Times New Roman"/>
          <w:b/>
          <w:sz w:val="20"/>
          <w:u w:val="single"/>
        </w:rPr>
        <w:t>HAN</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both"/>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(ii) Consideration.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both"/>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appa28288_6"/>
      <w:bookmarkEnd w:id="29"/>
      <w:r>
        <w:rPr>
          <w:rFonts w:ascii="Times New Roman" w:hAnsi="Times New Roman"/>
          <w:b/>
          <w:sz w:val="20"/>
        </w:rPr>
        <w:t>6. A</w:t>
      </w:r>
      <w:r>
        <w:rPr>
          <w:rFonts w:ascii="Times New Roman" w:hAnsi="Times New Roman"/>
          <w:b/>
          <w:sz w:val="20"/>
          <w:u w:val="single"/>
        </w:rPr>
        <w:t>DJUSTMENTS</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O</w:t>
      </w:r>
      <w:r>
        <w:rPr>
          <w:rFonts w:ascii="Times New Roman" w:hAnsi="Times New Roman"/>
          <w:b/>
          <w:sz w:val="20"/>
          <w:u w:val="single"/>
        </w:rPr>
        <w:t>THER</w:t>
      </w:r>
      <w:r>
        <w:rPr>
          <w:rFonts w:ascii="Times New Roman" w:hAnsi="Times New Roman"/>
          <w:b/>
          <w:sz w:val="20"/>
        </w:rPr>
        <w:t xml:space="preserve"> C</w:t>
      </w:r>
      <w:r>
        <w:rPr>
          <w:rFonts w:ascii="Times New Roman" w:hAnsi="Times New Roman"/>
          <w:b/>
          <w:sz w:val="20"/>
          <w:u w:val="single"/>
        </w:rPr>
        <w:t>ORPORATE</w:t>
      </w:r>
      <w:r>
        <w:rPr>
          <w:rFonts w:ascii="Times New Roman" w:hAnsi="Times New Roman"/>
          <w:b/>
          <w:sz w:val="20"/>
        </w:rPr>
        <w:t xml:space="preserve"> E</w:t>
      </w:r>
      <w:r>
        <w:rPr>
          <w:rFonts w:ascii="Times New Roman" w:hAnsi="Times New Roman"/>
          <w:b/>
          <w:sz w:val="20"/>
          <w:u w:val="single"/>
        </w:rPr>
        <w:t>VENTS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360" w:after="0"/>
        <w:jc w:val="left"/>
        <w:rPr>
          <w:rFonts w:ascii="Times New Roman" w:hAnsi="Times New Roman"/>
          <w:b/>
          <w:sz w:val="20"/>
        </w:rPr>
      </w:pPr>
      <w:bookmarkStart w:id="30" w:name="appa28288_7"/>
      <w:bookmarkEnd w:id="30"/>
      <w:r>
        <w:rPr>
          <w:rFonts w:ascii="Times New Roman" w:hAnsi="Times New Roman"/>
          <w:b/>
          <w:sz w:val="20"/>
        </w:rPr>
        <w:t>7. A</w:t>
      </w:r>
      <w:r>
        <w:rPr>
          <w:rFonts w:ascii="Times New Roman" w:hAnsi="Times New Roman"/>
          <w:b/>
          <w:sz w:val="20"/>
          <w:u w:val="single"/>
        </w:rPr>
        <w:t>DMINISTRATION</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both"/>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both"/>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both"/>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both"/>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both"/>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both"/>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both"/>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an Officer.</w:t>
      </w:r>
      <w:r>
        <w:rPr>
          <w:rFonts w:ascii="Times New Roman" w:hAnsi="Times New Roman"/>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p>
      <w:pPr>
        <w:pStyle w:val="TextBody"/>
        <w:bidi w:val="0"/>
        <w:spacing w:before="360" w:after="0"/>
        <w:jc w:val="left"/>
        <w:rPr>
          <w:rFonts w:ascii="Times New Roman" w:hAnsi="Times New Roman"/>
          <w:b/>
          <w:sz w:val="20"/>
        </w:rPr>
      </w:pPr>
      <w:bookmarkStart w:id="31" w:name="appa28288_8"/>
      <w:bookmarkEnd w:id="31"/>
      <w:r>
        <w:rPr>
          <w:rFonts w:ascii="Times New Roman" w:hAnsi="Times New Roman"/>
          <w:b/>
          <w:sz w:val="20"/>
        </w:rPr>
        <w:t>8. 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p>
      <w:pPr>
        <w:pStyle w:val="TextBody"/>
        <w:bidi w:val="0"/>
        <w:spacing w:before="360" w:after="0"/>
        <w:jc w:val="left"/>
        <w:rPr>
          <w:rFonts w:ascii="Times New Roman" w:hAnsi="Times New Roman"/>
          <w:b/>
          <w:sz w:val="20"/>
        </w:rPr>
      </w:pPr>
      <w:bookmarkStart w:id="32" w:name="appa28288_9"/>
      <w:bookmarkEnd w:id="32"/>
      <w:r>
        <w:rPr>
          <w:rFonts w:ascii="Times New Roman" w:hAnsi="Times New Roman"/>
          <w:b/>
          <w:sz w:val="20"/>
        </w:rPr>
        <w:t>9. M</w:t>
      </w:r>
      <w:r>
        <w:rPr>
          <w:rFonts w:ascii="Times New Roman" w:hAnsi="Times New Roman"/>
          <w:b/>
          <w:sz w:val="20"/>
          <w:u w:val="single"/>
        </w:rPr>
        <w:t>ISCELLANEOUS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both"/>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both"/>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both"/>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both"/>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both"/>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conflict of law principles that would result in any application of any law other than the law of the State of Delaware. </w:t>
      </w:r>
    </w:p>
    <w:p>
      <w:pPr>
        <w:pStyle w:val="TextBody"/>
        <w:bidi w:val="0"/>
        <w:spacing w:before="360" w:after="0"/>
        <w:jc w:val="left"/>
        <w:rPr>
          <w:rFonts w:ascii="Times New Roman" w:hAnsi="Times New Roman"/>
          <w:b/>
          <w:sz w:val="20"/>
        </w:rPr>
      </w:pPr>
      <w:bookmarkStart w:id="33" w:name="appa28288_10"/>
      <w:bookmarkEnd w:id="33"/>
      <w:r>
        <w:rPr>
          <w:rFonts w:ascii="Times New Roman" w:hAnsi="Times New Roman"/>
          <w:b/>
          <w:sz w:val="20"/>
        </w:rPr>
        <w:t>10. 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Compliance with Law.</w:t>
      </w:r>
      <w:r>
        <w:rPr>
          <w:rFonts w:ascii="Times New Roman" w:hAnsi="Times New Roman"/>
          <w:sz w:val="20"/>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360" w:after="0"/>
        <w:jc w:val="left"/>
        <w:rPr>
          <w:rFonts w:ascii="Times New Roman" w:hAnsi="Times New Roman"/>
          <w:b/>
          <w:sz w:val="20"/>
        </w:rPr>
      </w:pPr>
      <w:bookmarkStart w:id="34" w:name="appa28288_11"/>
      <w:bookmarkEnd w:id="34"/>
      <w:r>
        <w:rPr>
          <w:rFonts w:ascii="Times New Roman" w:hAnsi="Times New Roman"/>
          <w:b/>
          <w:sz w:val="20"/>
        </w:rPr>
        <w:t>11. A</w:t>
      </w:r>
      <w:r>
        <w:rPr>
          <w:rFonts w:ascii="Times New Roman" w:hAnsi="Times New Roman"/>
          <w:b/>
          <w:sz w:val="20"/>
          <w:u w:val="single"/>
        </w:rPr>
        <w:t>DDITIONAL</w:t>
      </w:r>
      <w:r>
        <w:rPr>
          <w:rFonts w:ascii="Times New Roman" w:hAnsi="Times New Roman"/>
          <w:b/>
          <w:sz w:val="20"/>
        </w:rPr>
        <w:t xml:space="preserve"> R</w:t>
      </w:r>
      <w:r>
        <w:rPr>
          <w:rFonts w:ascii="Times New Roman" w:hAnsi="Times New Roman"/>
          <w:b/>
          <w:sz w:val="20"/>
          <w:u w:val="single"/>
        </w:rPr>
        <w:t>ULES</w:t>
      </w:r>
      <w:r>
        <w:rPr>
          <w:rFonts w:ascii="Times New Roman" w:hAnsi="Times New Roman"/>
          <w:b/>
          <w:sz w:val="20"/>
        </w:rPr>
        <w:t xml:space="preserve"> </w:t>
      </w:r>
      <w:r>
        <w:rPr>
          <w:rFonts w:ascii="Times New Roman" w:hAnsi="Times New Roman"/>
          <w:b/>
          <w:sz w:val="20"/>
          <w:u w:val="single"/>
        </w:rPr>
        <w:t>FOR</w:t>
      </w:r>
      <w:r>
        <w:rPr>
          <w:rFonts w:ascii="Times New Roman" w:hAnsi="Times New Roman"/>
          <w:b/>
          <w:sz w:val="20"/>
        </w:rPr>
        <w:t xml:space="preserve"> A</w:t>
      </w:r>
      <w:r>
        <w:rPr>
          <w:rFonts w:ascii="Times New Roman" w:hAnsi="Times New Roman"/>
          <w:b/>
          <w:sz w:val="20"/>
          <w:u w:val="single"/>
        </w:rPr>
        <w:t>WARDS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S</w:t>
      </w:r>
      <w:r>
        <w:rPr>
          <w:rFonts w:ascii="Times New Roman" w:hAnsi="Times New Roman"/>
          <w:b/>
          <w:sz w:val="20"/>
          <w:u w:val="single"/>
        </w:rPr>
        <w:t>ECTION</w:t>
      </w:r>
      <w:r>
        <w:rPr>
          <w:rFonts w:ascii="Times New Roman" w:hAnsi="Times New Roman"/>
          <w:b/>
          <w:sz w:val="20"/>
        </w:rPr>
        <w:t xml:space="preserve"> 409A.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31stof the calendar year that includes the applicable vesting date, or (ii) the 60thday that follows the applicable vesting date.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 intended to satisfy the requirements of payment on a specified date or pursuant to a fixed schedule, as provided under Treasury Regulations Section 1.409A-3(a)(4).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Treasury Regulations Section 1.409A-3(j)(4)(ix).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360" w:after="0"/>
        <w:jc w:val="left"/>
        <w:rPr>
          <w:rFonts w:ascii="Times New Roman" w:hAnsi="Times New Roman"/>
          <w:b/>
          <w:sz w:val="20"/>
        </w:rPr>
      </w:pPr>
      <w:bookmarkStart w:id="35" w:name="appa28288_12"/>
      <w:bookmarkEnd w:id="35"/>
      <w:r>
        <w:rPr>
          <w:rFonts w:ascii="Times New Roman" w:hAnsi="Times New Roman"/>
          <w:b/>
          <w:sz w:val="20"/>
        </w:rPr>
        <w:t>12. S</w:t>
      </w:r>
      <w:r>
        <w:rPr>
          <w:rFonts w:ascii="Times New Roman" w:hAnsi="Times New Roman"/>
          <w:b/>
          <w:sz w:val="20"/>
          <w:u w:val="single"/>
        </w:rPr>
        <w:t>EVERABILITY</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360" w:after="0"/>
        <w:jc w:val="left"/>
        <w:rPr>
          <w:rFonts w:ascii="Times New Roman" w:hAnsi="Times New Roman"/>
          <w:b/>
          <w:sz w:val="20"/>
        </w:rPr>
      </w:pPr>
      <w:bookmarkStart w:id="36" w:name="appa28288_13"/>
      <w:bookmarkEnd w:id="36"/>
      <w:r>
        <w:rPr>
          <w:rFonts w:ascii="Times New Roman" w:hAnsi="Times New Roman"/>
          <w:b/>
          <w:sz w:val="20"/>
        </w:rPr>
        <w:t>13. 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360" w:after="0"/>
        <w:jc w:val="left"/>
        <w:rPr>
          <w:rFonts w:ascii="Times New Roman" w:hAnsi="Times New Roman"/>
          <w:b/>
          <w:sz w:val="20"/>
        </w:rPr>
      </w:pPr>
      <w:bookmarkStart w:id="37" w:name="appa28288_14"/>
      <w:bookmarkEnd w:id="37"/>
      <w:r>
        <w:rPr>
          <w:rFonts w:ascii="Times New Roman" w:hAnsi="Times New Roman"/>
          <w:b/>
          <w:sz w:val="20"/>
        </w:rPr>
        <w:t>14. D</w:t>
      </w:r>
      <w:r>
        <w:rPr>
          <w:rFonts w:ascii="Times New Roman" w:hAnsi="Times New Roman"/>
          <w:b/>
          <w:sz w:val="20"/>
          <w:u w:val="single"/>
        </w:rPr>
        <w:t>EFINITIONS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 RSU Award, a SAR, a Performance Award or any Other Award).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bidi w:val="0"/>
        <w:spacing w:before="24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or willful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both"/>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date the Plan is adopted by the Board,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w:t>
      </w:r>
    </w:p>
    <w:p>
      <w:pPr>
        <w:pStyle w:val="TextBody"/>
        <w:bidi w:val="0"/>
        <w:spacing w:before="240" w:after="0"/>
        <w:jc w:val="both"/>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both"/>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Directors to whom authority has been delegated by the Board or Compensation Committee in accordance with the Plan. </w:t>
      </w:r>
    </w:p>
    <w:p>
      <w:pPr>
        <w:pStyle w:val="TextBody"/>
        <w:bidi w:val="0"/>
        <w:spacing w:before="240" w:after="0"/>
        <w:jc w:val="both"/>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both"/>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CalciMedica, Inc., a Delaware corporation. </w:t>
      </w:r>
    </w:p>
    <w:p>
      <w:pPr>
        <w:pStyle w:val="TextBody"/>
        <w:bidi w:val="0"/>
        <w:spacing w:before="240" w:after="0"/>
        <w:jc w:val="both"/>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both"/>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both"/>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w:t>
      </w:r>
    </w:p>
    <w:p>
      <w:pPr>
        <w:pStyle w:val="TextBody"/>
        <w:bidi w:val="0"/>
        <w:spacing w:before="240" w:after="0"/>
        <w:jc w:val="both"/>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both"/>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both"/>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both"/>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xml:space="preserve">” </w:t>
      </w:r>
      <w:r>
        <w:rPr>
          <w:rFonts w:ascii="Times New Roman" w:hAnsi="Times New Roman"/>
          <w:b/>
          <w:i/>
          <w:sz w:val="20"/>
        </w:rPr>
        <w:t xml:space="preserve">or </w:t>
      </w:r>
      <w:r>
        <w:rPr>
          <w:rFonts w:ascii="Times New Roman" w:hAnsi="Times New Roman"/>
          <w:sz w:val="20"/>
        </w:rPr>
        <w:t>“</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both"/>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both"/>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Agreement and Plan of Merger and Reorganization, by and among Graybug Vision, Inc., a Delaware corporation, Camaro Merger Sub, Inc., a Delaware corporation, and the Company, dated as of November 21, 2022, provided that this Plan is approved by Graybug, Inc.’s stockholders prior to such closing. </w:t>
      </w:r>
    </w:p>
    <w:p>
      <w:pPr>
        <w:pStyle w:val="TextBody"/>
        <w:bidi w:val="0"/>
        <w:spacing w:before="240" w:after="0"/>
        <w:jc w:val="both"/>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both"/>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of the Company that employs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both"/>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both"/>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both"/>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both"/>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w:t>
      </w:r>
    </w:p>
    <w:p>
      <w:pPr>
        <w:pStyle w:val="TextBody"/>
        <w:bidi w:val="0"/>
        <w:spacing w:before="240" w:after="0"/>
        <w:jc w:val="both"/>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both"/>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both"/>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amendments to the terms of an Award do not Materially Impair the Participant’s rights under the Award: (i) imposition of reasonable restrictions on the minimum number of shares subject to an Option that may be exercised; (ii) maintenance of the qualified status of the Award as an Incentive Stock Option under Section 422 of the Code; (iii) the change of the terms of an Incentive Stock Option in a manner that disqualifies, impairs or otherwise affects the qualified status of the Award as an Incentive Stock Option under Section 422 of the Code; (iv) clarification of the manner of exemption from, or the bringing of the Award into compliance with or qualifying it for an exemption from, Section 409A; or (v) compliance with other Applicable Laws. </w:t>
      </w:r>
    </w:p>
    <w:p>
      <w:pPr>
        <w:pStyle w:val="TextBody"/>
        <w:bidi w:val="0"/>
        <w:spacing w:before="240" w:after="0"/>
        <w:jc w:val="both"/>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Agreement. </w:t>
      </w:r>
    </w:p>
    <w:p>
      <w:pPr>
        <w:pStyle w:val="TextBody"/>
        <w:bidi w:val="0"/>
        <w:spacing w:before="240" w:after="0"/>
        <w:jc w:val="both"/>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both"/>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Treasury Regulations Section 1.409A-1(b)(4), 1.409A-1(b)(9) or otherwise. </w:t>
      </w:r>
    </w:p>
    <w:p>
      <w:pPr>
        <w:pStyle w:val="TextBody"/>
        <w:bidi w:val="0"/>
        <w:spacing w:before="240" w:after="0"/>
        <w:jc w:val="both"/>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both"/>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both"/>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both"/>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Option Agreement</w:t>
      </w:r>
      <w:r>
        <w:rPr>
          <w:rFonts w:ascii="Times New Roman" w:hAnsi="Times New Roman"/>
          <w:sz w:val="20"/>
        </w:rPr>
        <w:t xml:space="preserve">”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both"/>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based in whole or in part by reference to the Common Stock which is granted pursuant to the terms and conditions of Section 5(c).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Other Award Agreement</w:t>
      </w:r>
      <w:r>
        <w:rPr>
          <w:rFonts w:ascii="Times New Roman" w:hAnsi="Times New Roman"/>
          <w:sz w:val="20"/>
        </w:rPr>
        <w:t xml:space="preserve">” means a written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both"/>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both"/>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both"/>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the one or more criteria that the Board will select for purposes of establishing the Performance Goals for a Performance Period. The Performance Criteria that will be used to establish such Performance Goals may be based on any measure of performance selected by the Board. </w:t>
      </w:r>
    </w:p>
    <w:p>
      <w:pPr>
        <w:pStyle w:val="TextBody"/>
        <w:bidi w:val="0"/>
        <w:spacing w:before="240" w:after="0"/>
        <w:jc w:val="both"/>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both"/>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CalciMedica, Inc. 2023 Equity Incentive Plan, as amended from time to time. </w:t>
      </w:r>
    </w:p>
    <w:p>
      <w:pPr>
        <w:pStyle w:val="TextBody"/>
        <w:bidi w:val="0"/>
        <w:spacing w:before="240" w:after="0"/>
        <w:jc w:val="both"/>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240" w:after="0"/>
        <w:jc w:val="both"/>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both"/>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both"/>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both"/>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Restricted Stock Award Agreement</w:t>
      </w:r>
      <w:r>
        <w:rPr>
          <w:rFonts w:ascii="Times New Roman" w:hAnsi="Times New Roman"/>
          <w:sz w:val="20"/>
        </w:rPr>
        <w:t xml:space="preserve">”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both"/>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RSU Award Agreement</w:t>
      </w:r>
      <w:r>
        <w:rPr>
          <w:rFonts w:ascii="Times New Roman" w:hAnsi="Times New Roman"/>
          <w:sz w:val="20"/>
        </w:rPr>
        <w:t xml:space="preserve">”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both"/>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both"/>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both"/>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both"/>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both"/>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(mmm)</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the sum of (i) the number of shares of Capital Stock issued and outstanding, (ii) the number of shares of Capital Stock issuable upon the exercise of any pre-funded warrants (without regard to any beneficial ownership limitations) and (iii) the number of shares of Capital Stock issuable upon conversion of any shares of outstanding convertible preferred stock (without regard to any beneficial ownership limitations). </w:t>
      </w:r>
    </w:p>
    <w:p>
      <w:pPr>
        <w:pStyle w:val="TextBody"/>
        <w:bidi w:val="0"/>
        <w:spacing w:before="240" w:after="0"/>
        <w:jc w:val="both"/>
        <w:rPr>
          <w:rFonts w:ascii="Times New Roman" w:hAnsi="Times New Roman"/>
          <w:sz w:val="20"/>
        </w:rPr>
      </w:pPr>
      <w:r>
        <w:rPr>
          <w:rFonts w:ascii="Times New Roman" w:hAnsi="Times New Roman"/>
          <w:b/>
          <w:sz w:val="20"/>
        </w:rPr>
        <w:t>(nnn)</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both"/>
        <w:rPr>
          <w:rFonts w:ascii="Times New Roman" w:hAnsi="Times New Roman"/>
          <w:sz w:val="20"/>
        </w:rPr>
      </w:pPr>
      <w:r>
        <w:rPr>
          <w:rFonts w:ascii="Times New Roman" w:hAnsi="Times New Roman"/>
          <w:b/>
          <w:sz w:val="20"/>
        </w:rPr>
        <w:t>(ooo)</w:t>
      </w:r>
      <w:r>
        <w:rPr>
          <w:rFonts w:ascii="Times New Roman" w:hAnsi="Times New Roman"/>
          <w:sz w:val="20"/>
        </w:rPr>
        <w:t xml:space="preserve"> “</w:t>
      </w:r>
      <w:r>
        <w:rPr>
          <w:rFonts w:ascii="Times New Roman" w:hAnsi="Times New Roman"/>
          <w:b/>
          <w:i/>
          <w:sz w:val="20"/>
        </w:rPr>
        <w:t>SAR Agreement</w:t>
      </w:r>
      <w:r>
        <w:rPr>
          <w:rFonts w:ascii="Times New Roman" w:hAnsi="Times New Roman"/>
          <w:sz w:val="20"/>
        </w:rPr>
        <w:t xml:space="preserve">”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w:t>
      </w:r>
    </w:p>
    <w:p>
      <w:pPr>
        <w:pStyle w:val="TextBody"/>
        <w:bidi w:val="0"/>
        <w:spacing w:before="240" w:after="0"/>
        <w:jc w:val="both"/>
        <w:rPr>
          <w:rFonts w:ascii="Times New Roman" w:hAnsi="Times New Roman"/>
          <w:sz w:val="20"/>
        </w:rPr>
      </w:pPr>
      <w:r>
        <w:rPr>
          <w:rFonts w:ascii="Times New Roman" w:hAnsi="Times New Roman"/>
          <w:b/>
          <w:sz w:val="20"/>
        </w:rPr>
        <w:t>(ppp)</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both"/>
        <w:rPr>
          <w:rFonts w:ascii="Times New Roman" w:hAnsi="Times New Roman"/>
          <w:sz w:val="20"/>
        </w:rPr>
      </w:pPr>
      <w:r>
        <w:rPr>
          <w:rFonts w:ascii="Times New Roman" w:hAnsi="Times New Roman"/>
          <w:b/>
          <w:sz w:val="20"/>
        </w:rPr>
        <w:t>(qqq)</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both"/>
        <w:rPr>
          <w:rFonts w:ascii="Times New Roman" w:hAnsi="Times New Roman"/>
          <w:sz w:val="20"/>
        </w:rPr>
      </w:pPr>
      <w:r>
        <w:rPr>
          <w:rFonts w:ascii="Times New Roman" w:hAnsi="Times New Roman"/>
          <w:b/>
          <w:sz w:val="20"/>
        </w:rPr>
        <w:t>(rrr)</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both"/>
        <w:rPr>
          <w:rFonts w:ascii="Times New Roman" w:hAnsi="Times New Roman"/>
          <w:sz w:val="20"/>
        </w:rPr>
      </w:pPr>
      <w:r>
        <w:rPr>
          <w:rFonts w:ascii="Times New Roman" w:hAnsi="Times New Roman"/>
          <w:b/>
          <w:sz w:val="20"/>
        </w:rPr>
        <w:t>(sss)</w:t>
      </w:r>
      <w:r>
        <w:rPr>
          <w:rFonts w:ascii="Times New Roman" w:hAnsi="Times New Roman"/>
          <w:sz w:val="20"/>
        </w:rPr>
        <w:t xml:space="preserve">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both"/>
        <w:rPr>
          <w:rFonts w:ascii="Times New Roman" w:hAnsi="Times New Roman"/>
          <w:sz w:val="20"/>
        </w:rPr>
      </w:pPr>
      <w:r>
        <w:rPr>
          <w:rFonts w:ascii="Times New Roman" w:hAnsi="Times New Roman"/>
          <w:b/>
          <w:sz w:val="20"/>
        </w:rPr>
        <w:t>(ttt)</w:t>
      </w:r>
      <w:r>
        <w:rPr>
          <w:rFonts w:ascii="Times New Roman" w:hAnsi="Times New Roman"/>
          <w:sz w:val="20"/>
        </w:rPr>
        <w:t xml:space="preserve">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28288_22"/>
      <w:bookmarkEnd w:id="38"/>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CALCIMEDICA, INC.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b/>
          <w:sz w:val="20"/>
          <w:u w:val="single"/>
        </w:rPr>
        <w:t>ALCI</w:t>
      </w:r>
      <w:r>
        <w:rPr>
          <w:rFonts w:ascii="Times New Roman" w:hAnsi="Times New Roman"/>
          <w:b/>
          <w:sz w:val="20"/>
        </w:rPr>
        <w:t>M</w:t>
      </w:r>
      <w:r>
        <w:rPr>
          <w:rFonts w:ascii="Times New Roman" w:hAnsi="Times New Roman"/>
          <w:b/>
          <w:sz w:val="20"/>
          <w:u w:val="single"/>
        </w:rPr>
        <w:t>EDICA</w:t>
      </w:r>
      <w:r>
        <w:rPr>
          <w:rFonts w:ascii="Times New Roman" w:hAnsi="Times New Roman"/>
          <w:b/>
          <w:sz w:val="20"/>
        </w:rPr>
        <w:t>,</w:t>
      </w:r>
      <w:r>
        <w:rPr>
          <w:rFonts w:ascii="Times New Roman" w:hAnsi="Times New Roman"/>
          <w:sz w:val="20"/>
        </w:rPr>
        <w:t xml:space="preserve"> </w:t>
      </w:r>
      <w:r>
        <w:rPr>
          <w:rFonts w:ascii="Times New Roman" w:hAnsi="Times New Roman"/>
          <w:b/>
          <w:sz w:val="20"/>
        </w:rPr>
        <w:t>I</w:t>
      </w:r>
      <w:r>
        <w:rPr>
          <w:rFonts w:ascii="Times New Roman" w:hAnsi="Times New Roman"/>
          <w:b/>
          <w:sz w:val="20"/>
          <w:u w:val="single"/>
        </w:rPr>
        <w:t>NC</w:t>
      </w:r>
      <w:r>
        <w:rPr>
          <w:rFonts w:ascii="Times New Roman" w:hAnsi="Times New Roman"/>
          <w:b/>
          <w:sz w:val="20"/>
        </w:rPr>
        <w:t>.,</w:t>
      </w:r>
      <w:r>
        <w:rPr>
          <w:rFonts w:ascii="Times New Roman" w:hAnsi="Times New Roman"/>
          <w:sz w:val="20"/>
        </w:rPr>
        <w:t xml:space="preserve"> a corporation organized and existing under the laws of the State of Delaware, hereby certifies as follows: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b/>
          <w:sz w:val="20"/>
          <w:u w:val="single"/>
        </w:rPr>
        <w:t>IRST</w:t>
      </w:r>
      <w:r>
        <w:rPr>
          <w:rFonts w:ascii="Times New Roman" w:hAnsi="Times New Roman"/>
          <w:b/>
          <w:sz w:val="20"/>
        </w:rPr>
        <w:t>:</w:t>
      </w:r>
      <w:r>
        <w:rPr>
          <w:rFonts w:ascii="Times New Roman" w:hAnsi="Times New Roman"/>
          <w:sz w:val="20"/>
        </w:rPr>
        <w:t xml:space="preserve"> The name of this corporation is CalciMedica,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w:t>
      </w:r>
      <w:r>
        <w:rPr>
          <w:rFonts w:ascii="Times New Roman" w:hAnsi="Times New Roman"/>
          <w:b/>
          <w:sz w:val="20"/>
          <w:u w:val="single"/>
        </w:rPr>
        <w:t>ECOND</w:t>
      </w:r>
      <w:r>
        <w:rPr>
          <w:rFonts w:ascii="Times New Roman" w:hAnsi="Times New Roman"/>
          <w:b/>
          <w:sz w:val="20"/>
        </w:rPr>
        <w:t>:</w:t>
      </w:r>
      <w:r>
        <w:rPr>
          <w:rFonts w:ascii="Times New Roman" w:hAnsi="Times New Roman"/>
          <w:sz w:val="20"/>
        </w:rPr>
        <w:t xml:space="preserve"> The date on which the Company’s Certificate of Incorporation was originally filed with the Secretary of State of the State of Delaware is February 19, 2015. The Company was originally incorporated under the name Graybug, Inc. </w:t>
      </w:r>
    </w:p>
    <w:p>
      <w:pPr>
        <w:pStyle w:val="TextBody"/>
        <w:bidi w:val="0"/>
        <w:spacing w:before="240" w:after="0"/>
        <w:jc w:val="both"/>
        <w:rPr>
          <w:rFonts w:ascii="Times New Roman" w:hAnsi="Times New Roman"/>
          <w:sz w:val="20"/>
        </w:rPr>
      </w:pPr>
      <w:r>
        <w:rPr>
          <w:rFonts w:ascii="Times New Roman" w:hAnsi="Times New Roman"/>
          <w:b/>
          <w:sz w:val="20"/>
        </w:rPr>
        <w:t>T</w:t>
      </w:r>
      <w:r>
        <w:rPr>
          <w:rFonts w:ascii="Times New Roman" w:hAnsi="Times New Roman"/>
          <w:b/>
          <w:sz w:val="20"/>
          <w:u w:val="single"/>
        </w:rPr>
        <w:t>HIRD</w:t>
      </w:r>
      <w:r>
        <w:rPr>
          <w:rFonts w:ascii="Times New Roman" w:hAnsi="Times New Roman"/>
          <w:b/>
          <w:sz w:val="20"/>
        </w:rPr>
        <w:t>:</w:t>
      </w:r>
      <w:r>
        <w:rPr>
          <w:rFonts w:ascii="Times New Roman" w:hAnsi="Times New Roman"/>
          <w:sz w:val="20"/>
        </w:rPr>
        <w:t xml:space="preserve"> The Board of Directors of the Company, acting in accordance with the provisions of Sections 141 and 242 of the General Corporation Law of the State of Delaware, adopted resolutions amending its Amended and Restated Certificate of Incorporation, as heretofore amended (the “</w:t>
      </w:r>
      <w:r>
        <w:rPr>
          <w:rFonts w:ascii="Times New Roman" w:hAnsi="Times New Roman"/>
          <w:b/>
          <w:i/>
          <w:sz w:val="20"/>
        </w:rPr>
        <w:t>Certificate of Incorporation</w:t>
      </w:r>
      <w:r>
        <w:rPr>
          <w:rFonts w:ascii="Times New Roman" w:hAnsi="Times New Roman"/>
          <w:sz w:val="20"/>
        </w:rPr>
        <w:t xml:space="preserve">”), as follows:1 </w:t>
      </w:r>
    </w:p>
    <w:p>
      <w:pPr>
        <w:pStyle w:val="TextBody"/>
        <w:bidi w:val="0"/>
        <w:spacing w:before="120" w:after="0"/>
        <w:jc w:val="both"/>
        <w:rPr>
          <w:rFonts w:ascii="Times New Roman" w:hAnsi="Times New Roman"/>
          <w:sz w:val="20"/>
        </w:rPr>
      </w:pPr>
      <w:r>
        <w:rPr>
          <w:rFonts w:ascii="Times New Roman" w:hAnsi="Times New Roman"/>
          <w:sz w:val="20"/>
        </w:rPr>
        <w:t>Effective as of the effective time of 5:00 p.m., Eastern time, on the business day following the filing of this Certificate of Amendment with the office of the Secretary of State of the State of Delaware (the “</w:t>
      </w:r>
      <w:r>
        <w:rPr>
          <w:rFonts w:ascii="Times New Roman" w:hAnsi="Times New Roman"/>
          <w:b/>
          <w:i/>
          <w:sz w:val="20"/>
        </w:rPr>
        <w:t>Effective Time</w:t>
      </w:r>
      <w:r>
        <w:rPr>
          <w:rFonts w:ascii="Times New Roman" w:hAnsi="Times New Roman"/>
          <w:sz w:val="20"/>
        </w:rPr>
        <w:t>”), each,       shares of the Company’s Common Stock, par value $0.0001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Times New Roman" w:hAnsi="Times New Roman"/>
          <w:b/>
          <w:i/>
          <w:sz w:val="20"/>
        </w:rPr>
        <w:t>Reverse Split</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no fractional shares of Common Stock shall be issued as a result of the 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Company’s Common Stock (as adjusted to give effect to the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Effective Time, represented shares of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amendments approve the combination of any whole number of shares of the Company’s common stock between and including two (2) and ten (10) into one (1) share of the Company’s common stock and a proportionate reduction to the number of shares of Common Stock authorized for issuance under the Certificate of Incorporation.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and the number of shares of the Company’s total authorized Common Stock would be correspondingly, and proportionally to the reverse stock split ratio determined by the Company’s Board of Directors, reduced (thereby effecting a reduction in the Company’s total authorized capital stock). The other amendments will be abandoned pursuant to Section 242(c) of the General Corporation Law of the State of Delaware. The Company’s Board of Directors may also elect not to effect any reverse stock split and the corresponding authorized share reduction, in which case all proposed alternate amendments will be abandoned.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pre-Reverse Split Common Stock shall, from and after the Effective Time, automatically and without any action on the part of the Company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spacing w:before="120" w:after="0"/>
        <w:jc w:val="both"/>
        <w:rPr>
          <w:rFonts w:ascii="Times New Roman" w:hAnsi="Times New Roman"/>
          <w:sz w:val="20"/>
        </w:rPr>
      </w:pPr>
      <w:r>
        <w:rPr>
          <w:rFonts w:ascii="Times New Roman" w:hAnsi="Times New Roman"/>
          <w:sz w:val="20"/>
        </w:rPr>
        <w:t xml:space="preserve">The first paragraph of Article IV, Section 1 of the Certificate of Incorporation shall be amended and restated as follows: </w:t>
      </w:r>
    </w:p>
    <w:p>
      <w:pPr>
        <w:pStyle w:val="TextBody"/>
        <w:bidi w:val="0"/>
        <w:spacing w:before="120" w:after="0"/>
        <w:jc w:val="both"/>
        <w:rPr/>
      </w:pPr>
      <w:r>
        <w:rPr/>
        <w:t>“</w:t>
      </w:r>
      <w:r>
        <w:rPr>
          <w:rFonts w:ascii="Times New Roman" w:hAnsi="Times New Roman"/>
          <w:sz w:val="20"/>
        </w:rPr>
        <w:t>The total number of shares of all classes of stock that the Corporation has authority to issue is [●] shares, consisting of two classes: [●] shares of Common Stock, $0.0001 par value per share (“</w:t>
      </w:r>
      <w:r>
        <w:rPr>
          <w:rFonts w:ascii="Times New Roman" w:hAnsi="Times New Roman"/>
          <w:b/>
          <w:i/>
          <w:sz w:val="20"/>
        </w:rPr>
        <w:t>Common Stock</w:t>
      </w:r>
      <w:r>
        <w:rPr>
          <w:rFonts w:ascii="Times New Roman" w:hAnsi="Times New Roman"/>
          <w:sz w:val="20"/>
        </w:rPr>
        <w:t>”), and 10,000,000 shares of Preferred Stock, $0.0001 par value per share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F</w:t>
      </w:r>
      <w:r>
        <w:rPr>
          <w:rFonts w:ascii="Times New Roman" w:hAnsi="Times New Roman"/>
          <w:b/>
          <w:sz w:val="20"/>
          <w:u w:val="single"/>
        </w:rPr>
        <w:t>OURTH</w:t>
      </w:r>
      <w:r>
        <w:rPr>
          <w:rFonts w:ascii="Times New Roman" w:hAnsi="Times New Roman"/>
          <w:b/>
          <w:sz w:val="20"/>
        </w:rPr>
        <w:t>:</w:t>
      </w:r>
      <w:r>
        <w:rPr>
          <w:rFonts w:ascii="Times New Roman" w:hAnsi="Times New Roman"/>
          <w:sz w:val="20"/>
        </w:rPr>
        <w:t xml:space="preserve"> The foregoing amendment was submitted to the stockholders of the Company for their approval, and was duly adopted in accordance with the provisions of Section 242 of the General Corporation Law of the State of Delaware and shall be effective as of 5:00 p.m., Eastern time, on the business day following the filing of this Certificate of Amendment with the office of the Secretary of State of the State of Delaware. </w:t>
      </w:r>
    </w:p>
    <w:p>
      <w:pPr>
        <w:pStyle w:val="TextBody"/>
        <w:bidi w:val="0"/>
        <w:spacing w:before="240" w:after="0"/>
        <w:jc w:val="both"/>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sz w:val="20"/>
        </w:rPr>
        <w:t xml:space="preserve"> </w:t>
      </w:r>
      <w:r>
        <w:rPr>
          <w:rFonts w:ascii="Times New Roman" w:hAnsi="Times New Roman"/>
          <w:b/>
          <w:sz w:val="20"/>
        </w:rPr>
        <w:t>W</w:t>
      </w:r>
      <w:r>
        <w:rPr>
          <w:rFonts w:ascii="Times New Roman" w:hAnsi="Times New Roman"/>
          <w:b/>
          <w:sz w:val="20"/>
          <w:u w:val="single"/>
        </w:rPr>
        <w:t>ITNESS</w:t>
      </w:r>
      <w:r>
        <w:rPr>
          <w:rFonts w:ascii="Times New Roman" w:hAnsi="Times New Roman"/>
          <w:sz w:val="20"/>
        </w:rPr>
        <w:t xml:space="preserve"> </w:t>
      </w:r>
      <w:r>
        <w:rPr>
          <w:rFonts w:ascii="Times New Roman" w:hAnsi="Times New Roman"/>
          <w:b/>
          <w:sz w:val="20"/>
        </w:rPr>
        <w:t>W</w:t>
      </w:r>
      <w:r>
        <w:rPr>
          <w:rFonts w:ascii="Times New Roman" w:hAnsi="Times New Roman"/>
          <w:b/>
          <w:sz w:val="20"/>
          <w:u w:val="single"/>
        </w:rPr>
        <w:t>HEREOF</w:t>
      </w:r>
      <w:r>
        <w:rPr>
          <w:rFonts w:ascii="Times New Roman" w:hAnsi="Times New Roman"/>
          <w:b/>
          <w:sz w:val="20"/>
        </w:rPr>
        <w:t>, C</w:t>
      </w:r>
      <w:r>
        <w:rPr>
          <w:rFonts w:ascii="Times New Roman" w:hAnsi="Times New Roman"/>
          <w:b/>
          <w:sz w:val="20"/>
          <w:u w:val="single"/>
        </w:rPr>
        <w:t>ALCI</w:t>
      </w:r>
      <w:r>
        <w:rPr>
          <w:rFonts w:ascii="Times New Roman" w:hAnsi="Times New Roman"/>
          <w:b/>
          <w:sz w:val="20"/>
        </w:rPr>
        <w:t>M</w:t>
      </w:r>
      <w:r>
        <w:rPr>
          <w:rFonts w:ascii="Times New Roman" w:hAnsi="Times New Roman"/>
          <w:b/>
          <w:sz w:val="20"/>
          <w:u w:val="single"/>
        </w:rPr>
        <w:t>EDICA</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xml:space="preserve"> has caused this Certificate of Amendment to be signed by its Chief Executive Officer this day of     , 2026. </w:t>
      </w:r>
    </w:p>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380"/>
        <w:gridCol w:w="60"/>
        <w:gridCol w:w="24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b/>
              </w:rPr>
            </w:pPr>
            <w:r>
              <w:rPr>
                <w:b/>
              </w:rPr>
              <w:t>CALCIMEDICA,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A. Rachel Leheny, Ph.D.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0063480" cy="125863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63480" cy="125863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CalciMedica P.O. BCX 8016, CARY, NC 27512-9903 Your vote matters! Have your ballot ready and please use one of the methods below for easy voting: Your control number X Have the 12 digit control number located in the box above available when you access the website and follow the instructions CalciMedica, Inc. Annual Meeting of Stockholders For Stockholders of Record as of July 21, 2026 Wednesday, August 19, 2026 9:00 AM, Pacific Time Annual Meeting to be held live via the Internet - please visit www.proxydocs.com/CALC for more details. YOUR VOTE IS IMPORTANT! PLEASE VOTE BY: 9:00 AM, Pacific Time, August 19, 2026. This proxy is being solicited on behalf of the Board of Directors Internet: www.proxypush.com/CALC Cast your vote online Have your Proxy Card ready Follow the simple instructions to record your vote Phone: 1-866-859-2440 Use any touch-tone telephone Have your Proxy Card ready Follow the simple recorded instructions Mail: Mark, sign and date your Proxy Card Fold and return your Proxy Card in the postage-paid envelope provided Virtual: MAYou must register to attend the meeting online and/or participate at www.proxydocs.com/CALC The undersigned hereby appoints A. Rachel Lahany, Ph.D., Michael Dunn and John Dunn (the “Named Proxies”), and each of them, as the true and lawful attorneys of the undersigned, with full power of substitution and revocation, and authorizes them, and each of them, to vote all the shares of capital stock of Calc Medica, Inc. which the undersigned is entitled to vote at said meeting and any adjournment thereof upon the matters specified and upon such other matters as may be properly brought before the meeting or any adjoumment thereof, conferring authority upon such true and lawful attomeys to vote in their discretion on such other matters as may property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0063480" cy="125863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63480" cy="125863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CalciMedica CalciMedica, Inc. Annual Meeting of Stockholders Please make your marks like this: X THE BOARD OF DIRECTORS RECOMMENDS A VOTE: FOR ON PROPOSALS 1, 2, 3, 4, 6, 7 AND 8 THE BOARD RECOMMENDS THAT AN ADVISORY VOTE ON THE COMPENSATION FOR NAMED EXECUTIVE OFFICERS BE HELD EVERY 1 YEAR. PROPOSAL 1. To elect the Board’s two nominees for Class III directors, each to serve a three-year term through the 2029 annual meeting of stockholders following this meeting and until a successor has been elected and qualified, or until their earlier death, resignation or removal. 1.01 Allan Shaw 1.02 Robert N. Wilson 2. To matfy the appointment of Baker Tilly US, LLP as our independent registered public accounting firm for the fiscal year ending December 31, 2026. 3. To approve an amendment to the CalciMedica, Inc. Amended 2023 Equity Incentive Plan (the “2023 Plan”), to, among other things, increase the number of shares of our common stock authorized for issuance under the 2023 Plan by 7,500,000 shares and include in the calculation of the annual automatic share reserve increase shares of common stock issuable upon conversion or exercise of convertible preferred stock and pre-funded warrants, as applicable. 4. To approve on an advisory basis, the compensation of the Company’s named executive officers, as disclosed in the Proxy Statement. 5. To indicate, on an advisory basis, the preferred frequency of stockholder advisory votes on the compensation of the Company’s named executive officers. 6. To approve an amendment to our amended and restated certificate of incorporation, as amended, (the “Certificate of Incorporation”) to effect a reverse stock split of our common stock at a ratio in the range of 1-for-2 to 1-for-10, inclusive, and a corresponding proportionate reduction in the total number of authorized shares of the Company’s common stock, with such ratio to be determined in the discretion of our Board of Directors and with such reverse stock split to be affected at such time and date, if at all, as determined by our Board of Directors in its sole discretion. 7. To approve, for purposes of complying with Nasdaq Listing Rule 5635(d): (a) the issuance of Series A Warrants to purchase up to an aggregate of 18,673,429 shares of common stock and Series B Warrants to purchase up to an aggregate of 18,673,429 shares of common stock pursuant to the Securities Purchase Agreement, dated June 23, 2026 (the “Purchase Agreement), among the Company and certain investors, including certain directors and officers of the Company; and (b) the issuance of shares of common stock upon exercise of such warrants, or in lieu thereof, pre-funded warrants to purchase shares of common stock and the shares of common stock issuable upon exercise them of FOR YOUR VOTE FOR WITHHOLD BOARD OF DIRECTORS RECOMMENDS FOR FOR FOR AGAINST ABSTAIN FOR 0 FOR FOR ZYR 3YR ABSTAN 1 YEAR AGAINST ABSTAIN You must register to attend the meeting online and/or participate at www.proxydocs.com/CALC Authorized Signatures-Must be completed for your instructions to be executed Please sign exactly as your name(s) appears on your account if held in joint tenancy, all persons should sign. Trustees, administrators, etc., should indude title and authority. Corporations should provide full name of corporation and tide of authorized officer signing the Proxy/Vote Form. Signature (and Title if applicable) Dato Signature (if held jointly) Dato FOR FOR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0063480" cy="125863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63480" cy="125863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CalciMedica CalciMedica, Inc. Annual Meeting of Stockholders Please make your marks like this: X THE BOARD OF DIRECTORS RECOMMENDS A VOTE: FOR ON PROPOSALS 1, 2, 3, 4, 6, 7 AND 8 THE BOARD RECOMMENDS THAT AN ADVISORY VOTE ON THE COMPENSATION FOR NAMED EXECUTIVE OFFICERS BE HELD EVERY 1 YEAR. PROPOSAL 8. To approve, for purposes of complying with Nasdaq Listing Rule 5635(c) (a) the issuance of to purchase up to an aggregate of 1,680,565 shares of common stock of the Series A Warrants and to purchase up to an aggregate of 1,680,565 shares of common stock of the Series B Warrants described in Proposal 7 to certain directors and officers of the Company pursuant to the Purchase Agreement; and (b) the issuance of shares of common stock upon exercise of such warrants, or in lieu thereof, pre-funded warrants to purchase shares of common stock and the shares of common stock issuable upon exercise thereof. Stockholders may be asked to consider and vote upon such other business as may property come before the 2026 Annual Meeting or any adjoumment or postponement thereof BOARD OF DIRECTORS RECOMMENDS YOUR VOTE FOR NGANIT AISTAN FOR You must register to attend the meeting online and/or participate at www.proxydocs.com/CALC Authorized Signatures- Must be completed for your instructions to be executed Please sign exactly as your name(s) appears on your account. If held in joint tenancy, all persons should sign. Trustees administrators, etc., should indude title and authority. Corporations should provide full name of corporation and tide of authorized officer signing the Proxy/Vote Form. Signature (and Title 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102</Pages>
  <Words>59923</Words>
  <Characters>313025</Characters>
  <CharactersWithSpaces>374601</CharactersWithSpaces>
  <Paragraphs>4631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