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CalciMedica,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Woodline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2,489,729.00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2,489,729.00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2,489,729.00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CalciMedica,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Coast Boulevard South, Suite 307, La Jolla, California 92037</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Woodline Partners LP ("Woodline Partners" or the "Reporting Person"), a Delaware limited partnership, and the investment adviser to Woodline Master Fund LP (the "Woodline Fund"), with respect to the shares of common stock, par value $0.0001 per share ("Common Stock"), of CalciMedica, Inc. (the "Company") directly held by the Woodline Fund. The filing of this statement should not be construed as an admission that any of the foregoing persons or the Reporting Person is, for the purposes of Section 13 of the Securities Exchange Act of 1934,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Woodline Partners is 4 Embarcadero Center, Suite 3450,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Woodline Partners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is calculated based upon an aggregate of 30,736,401 shares of Common Stock outstanding, which is the sum of (i) 15,798,031 shares of Common Stock outstanding as of May 6, 2026, as reported in the Company's Quarterly Report on Form 10-Q for the quarterly period ended March 31, 2026, filed with the Securities and Exchange Commission (the "SEC") on May 12, 2026 and (ii) 14,938,370 shares of Common Stock issued in the private placement entered into on June 23, 2026, as described in the Company's Current Report on Form 8-K filed with the SEC on June 24, 2026 and the Company's Definitive Proxy Statement on Schedule 14A filed with the SEC on July 23, 2026.</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8.1%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Woodline Master Fund LP has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Woodline Partners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Erin Mullen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Erin Mullen,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1224</Words>
  <Characters>6143</Characters>
  <CharactersWithSpaces>7357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