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January 31, 2024</w:t>
      </w:r>
    </w:p>
    <w:p>
      <w:pPr>
        <w:spacing w:after="0" w:line="10" w:lineRule="exact"/>
        <w:rPr>
          <w:sz w:val="24"/>
          <w:szCs w:val="24"/>
          <w:color w:val="auto"/>
        </w:rPr>
      </w:pPr>
    </w:p>
    <w:p>
      <w:pPr>
        <w:ind w:left="9280"/>
        <w:spacing w:after="0"/>
        <w:rPr>
          <w:sz w:val="20"/>
          <w:szCs w:val="20"/>
          <w:color w:val="auto"/>
        </w:rPr>
      </w:pPr>
      <w:r>
        <w:rPr>
          <w:rFonts w:ascii="Times New Roman" w:cs="Times New Roman" w:eastAsia="Times New Roman" w:hAnsi="Times New Roman"/>
          <w:sz w:val="15"/>
          <w:szCs w:val="15"/>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36830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7"/>
          <w:szCs w:val="27"/>
          <w:b w:val="1"/>
          <w:bCs w:val="1"/>
          <w:color w:val="auto"/>
        </w:rPr>
        <w:t>FORM S-3</w:t>
      </w:r>
    </w:p>
    <w:p>
      <w:pPr>
        <w:spacing w:after="0" w:line="3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7"/>
          <w:szCs w:val="27"/>
          <w:b w:val="1"/>
          <w:bCs w:val="1"/>
          <w:color w:val="auto"/>
        </w:rPr>
        <w:t>REGISTRATION STATEMENT</w:t>
      </w: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0"/>
          <w:szCs w:val="40"/>
          <w:b w:val="1"/>
          <w:bCs w:val="1"/>
          <w:color w:val="auto"/>
        </w:rPr>
        <w:t>CALCIMEDICA, INC.</w:t>
      </w:r>
    </w:p>
    <w:p>
      <w:pPr>
        <w:spacing w:after="0" w:line="3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105410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7" w:lineRule="exact"/>
        <w:rPr>
          <w:sz w:val="24"/>
          <w:szCs w:val="24"/>
          <w:color w:val="auto"/>
        </w:rPr>
      </w:pPr>
    </w:p>
    <w:tbl>
      <w:tblPr>
        <w:tblLayout w:type="fixed"/>
        <w:tblInd w:w="2080" w:type="dxa"/>
        <w:tblCellMar>
          <w:top w:w="0" w:type="dxa"/>
          <w:left w:w="0" w:type="dxa"/>
          <w:bottom w:w="0" w:type="dxa"/>
          <w:right w:w="0" w:type="dxa"/>
        </w:tblCellMar>
      </w:tblPr>
      <w:tr>
        <w:trPr>
          <w:trHeight w:val="172"/>
        </w:trPr>
        <w:tc>
          <w:tcPr>
            <w:tcW w:w="3700" w:type="dxa"/>
            <w:vAlign w:val="bottom"/>
          </w:tcPr>
          <w:p>
            <w:pPr>
              <w:jc w:val="center"/>
              <w:ind w:right="201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300" w:type="dxa"/>
            <w:vAlign w:val="bottom"/>
          </w:tcPr>
          <w:p>
            <w:pPr>
              <w:jc w:val="center"/>
              <w:ind w:left="1973"/>
              <w:spacing w:after="0"/>
              <w:rPr>
                <w:sz w:val="20"/>
                <w:szCs w:val="20"/>
                <w:color w:val="auto"/>
              </w:rPr>
            </w:pPr>
            <w:r>
              <w:rPr>
                <w:rFonts w:ascii="Times New Roman" w:cs="Times New Roman" w:eastAsia="Times New Roman" w:hAnsi="Times New Roman"/>
                <w:sz w:val="15"/>
                <w:szCs w:val="15"/>
                <w:b w:val="1"/>
                <w:bCs w:val="1"/>
                <w:color w:val="auto"/>
              </w:rPr>
              <w:t>45-2120079</w:t>
            </w:r>
          </w:p>
        </w:tc>
      </w:tr>
      <w:tr>
        <w:trPr>
          <w:trHeight w:val="135"/>
        </w:trPr>
        <w:tc>
          <w:tcPr>
            <w:tcW w:w="3700" w:type="dxa"/>
            <w:vAlign w:val="bottom"/>
          </w:tcPr>
          <w:p>
            <w:pPr>
              <w:jc w:val="center"/>
              <w:ind w:right="1993"/>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300" w:type="dxa"/>
            <w:vAlign w:val="bottom"/>
          </w:tcPr>
          <w:p>
            <w:pPr>
              <w:jc w:val="center"/>
              <w:ind w:left="1993"/>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700" w:type="dxa"/>
            <w:vAlign w:val="bottom"/>
          </w:tcPr>
          <w:p>
            <w:pPr>
              <w:jc w:val="center"/>
              <w:ind w:right="1993"/>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300" w:type="dxa"/>
            <w:vAlign w:val="bottom"/>
          </w:tcPr>
          <w:p>
            <w:pPr>
              <w:jc w:val="center"/>
              <w:ind w:left="1993"/>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bl>
    <w:p>
      <w:pPr>
        <w:spacing w:after="0" w:line="3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505 Coast Boulevard South, Suite 307</w:t>
      </w: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La Jolla, CA 92037</w:t>
      </w:r>
    </w:p>
    <w:p>
      <w:pPr>
        <w:jc w:val="center"/>
        <w:ind w:right="-139"/>
        <w:spacing w:after="0" w:line="221" w:lineRule="auto"/>
        <w:rPr>
          <w:sz w:val="20"/>
          <w:szCs w:val="20"/>
          <w:color w:val="auto"/>
        </w:rPr>
      </w:pPr>
      <w:r>
        <w:rPr>
          <w:rFonts w:ascii="Times New Roman" w:cs="Times New Roman" w:eastAsia="Times New Roman" w:hAnsi="Times New Roman"/>
          <w:sz w:val="15"/>
          <w:szCs w:val="15"/>
          <w:b w:val="1"/>
          <w:bCs w:val="1"/>
          <w:color w:val="auto"/>
        </w:rPr>
        <w:t>(858) 952-5500</w:t>
      </w: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A. Rachel Leheny, Ph.D.</w:t>
      </w: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Chief Executive Officer</w:t>
      </w:r>
    </w:p>
    <w:p>
      <w:pPr>
        <w:jc w:val="center"/>
        <w:ind w:right="-139"/>
        <w:spacing w:after="0" w:line="225" w:lineRule="auto"/>
        <w:rPr>
          <w:sz w:val="20"/>
          <w:szCs w:val="20"/>
          <w:color w:val="auto"/>
        </w:rPr>
      </w:pPr>
      <w:r>
        <w:rPr>
          <w:rFonts w:ascii="Times New Roman" w:cs="Times New Roman" w:eastAsia="Times New Roman" w:hAnsi="Times New Roman"/>
          <w:sz w:val="15"/>
          <w:szCs w:val="15"/>
          <w:b w:val="1"/>
          <w:bCs w:val="1"/>
          <w:color w:val="auto"/>
        </w:rPr>
        <w:t>CalciMedica, Inc.</w:t>
      </w:r>
    </w:p>
    <w:p>
      <w:pPr>
        <w:jc w:val="center"/>
        <w:ind w:right="-139"/>
        <w:spacing w:after="0" w:line="225" w:lineRule="auto"/>
        <w:rPr>
          <w:sz w:val="20"/>
          <w:szCs w:val="20"/>
          <w:color w:val="auto"/>
        </w:rPr>
      </w:pPr>
      <w:r>
        <w:rPr>
          <w:rFonts w:ascii="Times New Roman" w:cs="Times New Roman" w:eastAsia="Times New Roman" w:hAnsi="Times New Roman"/>
          <w:sz w:val="15"/>
          <w:szCs w:val="15"/>
          <w:b w:val="1"/>
          <w:bCs w:val="1"/>
          <w:color w:val="auto"/>
        </w:rPr>
        <w:t>505 Coast Boulevard South, Suite 307</w:t>
      </w:r>
    </w:p>
    <w:p>
      <w:pPr>
        <w:jc w:val="center"/>
        <w:ind w:right="-139"/>
        <w:spacing w:after="0" w:line="226" w:lineRule="auto"/>
        <w:rPr>
          <w:sz w:val="20"/>
          <w:szCs w:val="20"/>
          <w:color w:val="auto"/>
        </w:rPr>
      </w:pPr>
      <w:r>
        <w:rPr>
          <w:rFonts w:ascii="Times New Roman" w:cs="Times New Roman" w:eastAsia="Times New Roman" w:hAnsi="Times New Roman"/>
          <w:sz w:val="15"/>
          <w:szCs w:val="15"/>
          <w:b w:val="1"/>
          <w:bCs w:val="1"/>
          <w:color w:val="auto"/>
        </w:rPr>
        <w:t>La Jolla, CA 92037</w:t>
      </w:r>
    </w:p>
    <w:p>
      <w:pPr>
        <w:jc w:val="center"/>
        <w:ind w:right="-139"/>
        <w:spacing w:after="0" w:line="221" w:lineRule="auto"/>
        <w:rPr>
          <w:sz w:val="20"/>
          <w:szCs w:val="20"/>
          <w:color w:val="auto"/>
        </w:rPr>
      </w:pPr>
      <w:r>
        <w:rPr>
          <w:rFonts w:ascii="Times New Roman" w:cs="Times New Roman" w:eastAsia="Times New Roman" w:hAnsi="Times New Roman"/>
          <w:sz w:val="15"/>
          <w:szCs w:val="15"/>
          <w:b w:val="1"/>
          <w:bCs w:val="1"/>
          <w:color w:val="auto"/>
        </w:rPr>
        <w:t>(858) 952-5500</w:t>
      </w: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i w:val="1"/>
          <w:iCs w:val="1"/>
          <w:color w:val="auto"/>
        </w:rPr>
        <w:t>Copies to:</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Thomas A. Coll, Esq.</w:t>
      </w: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Carlos Ramirez, Esq.</w:t>
      </w:r>
    </w:p>
    <w:p>
      <w:pPr>
        <w:jc w:val="center"/>
        <w:ind w:right="-139"/>
        <w:spacing w:after="0" w:line="225" w:lineRule="auto"/>
        <w:rPr>
          <w:sz w:val="20"/>
          <w:szCs w:val="20"/>
          <w:color w:val="auto"/>
        </w:rPr>
      </w:pPr>
      <w:r>
        <w:rPr>
          <w:rFonts w:ascii="Times New Roman" w:cs="Times New Roman" w:eastAsia="Times New Roman" w:hAnsi="Times New Roman"/>
          <w:sz w:val="15"/>
          <w:szCs w:val="15"/>
          <w:b w:val="1"/>
          <w:bCs w:val="1"/>
          <w:color w:val="auto"/>
        </w:rPr>
        <w:t>Cooley LLP</w:t>
      </w:r>
    </w:p>
    <w:p>
      <w:pPr>
        <w:jc w:val="center"/>
        <w:ind w:right="-139"/>
        <w:spacing w:after="0" w:line="225" w:lineRule="auto"/>
        <w:rPr>
          <w:sz w:val="20"/>
          <w:szCs w:val="20"/>
          <w:color w:val="auto"/>
        </w:rPr>
      </w:pPr>
      <w:r>
        <w:rPr>
          <w:rFonts w:ascii="Times New Roman" w:cs="Times New Roman" w:eastAsia="Times New Roman" w:hAnsi="Times New Roman"/>
          <w:sz w:val="15"/>
          <w:szCs w:val="15"/>
          <w:b w:val="1"/>
          <w:bCs w:val="1"/>
          <w:color w:val="auto"/>
        </w:rPr>
        <w:t>10265 Science Center Drive</w:t>
      </w:r>
    </w:p>
    <w:p>
      <w:pPr>
        <w:jc w:val="center"/>
        <w:ind w:right="-139"/>
        <w:spacing w:after="0" w:line="226" w:lineRule="auto"/>
        <w:rPr>
          <w:sz w:val="20"/>
          <w:szCs w:val="20"/>
          <w:color w:val="auto"/>
        </w:rPr>
      </w:pPr>
      <w:r>
        <w:rPr>
          <w:rFonts w:ascii="Times New Roman" w:cs="Times New Roman" w:eastAsia="Times New Roman" w:hAnsi="Times New Roman"/>
          <w:sz w:val="15"/>
          <w:szCs w:val="15"/>
          <w:b w:val="1"/>
          <w:bCs w:val="1"/>
          <w:color w:val="auto"/>
        </w:rPr>
        <w:t>San Diego, CA 92121</w:t>
      </w: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(858) 550-6000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114300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From time to time after the effective date of this Registration Statement.</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3" w:lineRule="exact"/>
        <w:rPr>
          <w:sz w:val="24"/>
          <w:szCs w:val="24"/>
          <w:color w:val="auto"/>
        </w:rPr>
      </w:pPr>
    </w:p>
    <w:p>
      <w:pPr>
        <w:ind w:left="120"/>
        <w:spacing w:after="0" w:line="173" w:lineRule="exact"/>
        <w:rPr>
          <w:sz w:val="20"/>
          <w:szCs w:val="20"/>
          <w:color w:val="auto"/>
        </w:rPr>
      </w:pPr>
      <w:r>
        <w:rPr>
          <w:rFonts w:ascii="Times New Roman" w:cs="Times New Roman" w:eastAsia="Times New Roman" w:hAnsi="Times New Roman"/>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93" w:lineRule="exact"/>
        <w:rPr>
          <w:sz w:val="24"/>
          <w:szCs w:val="24"/>
          <w:color w:val="auto"/>
        </w:rPr>
      </w:pPr>
    </w:p>
    <w:p>
      <w:pPr>
        <w:ind w:left="120" w:right="180"/>
        <w:spacing w:after="0" w:line="199"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8" w:lineRule="exact"/>
        <w:rPr>
          <w:sz w:val="24"/>
          <w:szCs w:val="24"/>
          <w:color w:val="auto"/>
        </w:rPr>
      </w:pPr>
    </w:p>
    <w:p>
      <w:pPr>
        <w:ind w:left="120" w:right="36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8" w:lineRule="exact"/>
        <w:rPr>
          <w:sz w:val="24"/>
          <w:szCs w:val="24"/>
          <w:color w:val="auto"/>
        </w:rPr>
      </w:pPr>
    </w:p>
    <w:p>
      <w:pPr>
        <w:ind w:left="120" w:right="2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8" w:lineRule="exact"/>
        <w:rPr>
          <w:sz w:val="24"/>
          <w:szCs w:val="24"/>
          <w:color w:val="auto"/>
        </w:rPr>
      </w:pPr>
    </w:p>
    <w:p>
      <w:pPr>
        <w:ind w:left="120" w:right="32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8" w:lineRule="exact"/>
        <w:rPr>
          <w:sz w:val="24"/>
          <w:szCs w:val="24"/>
          <w:color w:val="auto"/>
        </w:rPr>
      </w:pPr>
    </w:p>
    <w:p>
      <w:pPr>
        <w:ind w:left="120" w:right="54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62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180" w:type="dxa"/>
            <w:vAlign w:val="bottom"/>
          </w:tcPr>
          <w:p>
            <w:pPr>
              <w:ind w:left="3180"/>
              <w:spacing w:after="0"/>
              <w:rPr>
                <w:sz w:val="20"/>
                <w:szCs w:val="20"/>
                <w:color w:val="auto"/>
              </w:rPr>
            </w:pPr>
            <w:r>
              <w:rPr>
                <w:rFonts w:ascii="Times New Roman" w:cs="Times New Roman" w:eastAsia="Times New Roman" w:hAnsi="Times New Roman"/>
                <w:sz w:val="15"/>
                <w:szCs w:val="15"/>
                <w:color w:val="auto"/>
              </w:rPr>
              <w:t>Accelerated filer</w:t>
            </w:r>
          </w:p>
        </w:tc>
        <w:tc>
          <w:tcPr>
            <w:tcW w:w="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62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180" w:type="dxa"/>
            <w:vAlign w:val="bottom"/>
          </w:tcPr>
          <w:p>
            <w:pPr>
              <w:ind w:left="31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168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5180" w:type="dxa"/>
            <w:vAlign w:val="bottom"/>
          </w:tcPr>
          <w:p>
            <w:pPr>
              <w:ind w:left="3180"/>
              <w:spacing w:after="0"/>
              <w:rPr>
                <w:sz w:val="20"/>
                <w:szCs w:val="20"/>
                <w:color w:val="auto"/>
              </w:rPr>
            </w:pPr>
            <w:r>
              <w:rPr>
                <w:rFonts w:ascii="Times New Roman" w:cs="Times New Roman" w:eastAsia="Times New Roman" w:hAnsi="Times New Roman"/>
                <w:sz w:val="15"/>
                <w:szCs w:val="15"/>
                <w:color w:val="auto"/>
              </w:rPr>
              <w:t>Emerging growth company</w:t>
            </w:r>
          </w:p>
        </w:tc>
        <w:tc>
          <w:tcPr>
            <w:tcW w:w="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7" w:lineRule="exact"/>
        <w:rPr>
          <w:sz w:val="24"/>
          <w:szCs w:val="24"/>
          <w:color w:val="auto"/>
        </w:rPr>
      </w:pPr>
    </w:p>
    <w:p>
      <w:pPr>
        <w:ind w:left="120" w:right="360"/>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93345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3" w:lineRule="exact"/>
        <w:rPr>
          <w:sz w:val="24"/>
          <w:szCs w:val="24"/>
          <w:color w:val="auto"/>
        </w:rPr>
      </w:pPr>
    </w:p>
    <w:p>
      <w:pPr>
        <w:ind w:left="120" w:right="160"/>
        <w:spacing w:after="0" w:line="239"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16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offers to buy these securities in any state where such offer or sale is not permitted.</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January 31, 2024</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173990</wp:posOffset>
            </wp:positionV>
            <wp:extent cx="278574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8574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10,735,725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5" w:lineRule="exact"/>
        <w:rPr>
          <w:sz w:val="20"/>
          <w:szCs w:val="20"/>
          <w:color w:val="auto"/>
        </w:rPr>
      </w:pPr>
    </w:p>
    <w:p>
      <w:pPr>
        <w:ind w:left="120" w:right="140" w:firstLine="440"/>
        <w:spacing w:after="0" w:line="269" w:lineRule="auto"/>
        <w:rPr>
          <w:sz w:val="20"/>
          <w:szCs w:val="20"/>
          <w:color w:val="auto"/>
        </w:rPr>
      </w:pPr>
      <w:r>
        <w:rPr>
          <w:rFonts w:ascii="Times New Roman" w:cs="Times New Roman" w:eastAsia="Times New Roman" w:hAnsi="Times New Roman"/>
          <w:sz w:val="17"/>
          <w:szCs w:val="17"/>
          <w:color w:val="auto"/>
        </w:rPr>
        <w:t>This prospectus covers the offer and resale by the selling stockholders identified in this prospectus of up to an aggregate of 10,735,725 shares of our common stock, par value $0.0001 per share, which consists of (a) (i) 4,985,610 shares of our common stock, (ii) 306,506 shares of our common stock issuable upon the exercise of pre-funded warrants (the “Pre-Funded Warrants”) to purchase shares of our common stock, (iii) 2,646,058 shares of our common stock issuable upon the exercise of Tranche A common warrants (the “Tranche A Common Warrants”) to purchase shares of our common stock (or Pre-Funded Warrants in lieu thereof and, in such case, shares of our common stock issuable upon exercise of such Pre-Funded Warrants); and</w:t>
      </w:r>
    </w:p>
    <w:p>
      <w:pPr>
        <w:spacing w:after="0" w:line="3" w:lineRule="exact"/>
        <w:rPr>
          <w:sz w:val="20"/>
          <w:szCs w:val="20"/>
          <w:color w:val="auto"/>
        </w:rPr>
      </w:pPr>
    </w:p>
    <w:p>
      <w:pPr>
        <w:ind w:left="120" w:right="40" w:hanging="4"/>
        <w:spacing w:after="0" w:line="251" w:lineRule="auto"/>
        <w:tabs>
          <w:tab w:leader="none" w:pos="42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2,646,058 shares of our common stock issuable upon the exercise of Tranche B common warrants (the “Tranche B Common Warrants” and together with the Tranche A Common Warrants, the “Common Warrants”) to purchase shares of our common stock (or Pre-Funded Warrants in lieu thereof and, in such case, shares of our common stock issuable upon exercise of such Pre-Funded Warrants), all of which were or will be issued by us in a private placement transaction (the “Private Placement”) pursuant to that certain Securities Purchase Agreement, dated as of January 19, 2024, by and among us and the purchasers named therein, and (b) (i) 75,747 shares of common stock issuable upon exercise of placement agent warrants (the “Placement Agent Warrants”) to purchase shares of our common stock, (ii) 37,873 shares of common stock issuable upon exercise of Tranche A Common Warrants (or if such Tranche A Common Warrants are exercised for Pre-Funded Warrants in lieu of shares of our common stock, shares of our common stock issuable upon exercise of such Pre-Funded Warrants) and (iii) 37,873 shares of common stock issuable upon exercise of Tranche B Common Warrants (or if such Tranche B Common Warrants are exercised for Pre-Funded Warrants in lieu of shares of our common stock, shares of our common stock issuable upon exercise of such Pre-Funded Warrants), all of which were or will be issued by us to the placement agent of the Private Placement as compensation for its services.</w:t>
      </w:r>
    </w:p>
    <w:p>
      <w:pPr>
        <w:spacing w:after="0" w:line="8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not selling any shares of common stock under this prospectus and will not receive any proceeds from the sale by the selling stockholders of such shares. We will, however, receive the net proceeds of any warrants exercised for cash.</w:t>
      </w:r>
    </w:p>
    <w:p>
      <w:pPr>
        <w:spacing w:after="0" w:line="5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Sales of the shares by the selling stockholders may occur at fixed prices, at market prices prevailing at the time of sale, at prices related to prevailing market prices or at negotiated prices. The selling stockholders may sell shares to or through underwriters, broker-dealers or agents, who may receive compensation in the form of discounts, concessions or commissions from the selling stockholders, the purchasers of the shares, or both.</w:t>
      </w:r>
    </w:p>
    <w:p>
      <w:pPr>
        <w:spacing w:after="0" w:line="68"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are paying the cost of registering the shares of common stock covered by this prospectus as well as various related expenses. The selling stockholders are responsible for all broker or similar commissions related to the offer and sale of their shares.</w:t>
      </w:r>
    </w:p>
    <w:p>
      <w:pPr>
        <w:spacing w:after="0" w:line="5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trading symbol “CALC.” On January 30, 2024, the last reported sale price of our common stock was $7.23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122555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3" w:lineRule="exact"/>
        <w:rPr>
          <w:sz w:val="20"/>
          <w:szCs w:val="20"/>
          <w:color w:val="auto"/>
        </w:rPr>
      </w:pPr>
    </w:p>
    <w:p>
      <w:pPr>
        <w:ind w:left="120" w:right="32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9 of this prospectus and any similar section contained in any amendment or supplement to this prospectus and under similar headings in the documents that are incorporated by reference into this prospectus.</w:t>
      </w:r>
    </w:p>
    <w:p>
      <w:pPr>
        <w:spacing w:after="0" w:line="73"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121285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2024.</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2"/>
        </w:trPr>
        <w:tc>
          <w:tcPr>
            <w:tcW w:w="80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line="20" w:lineRule="exact"/>
              <w:rPr>
                <w:sz w:val="1"/>
                <w:szCs w:val="1"/>
                <w:color w:val="auto"/>
              </w:rPr>
            </w:pPr>
          </w:p>
        </w:tc>
      </w:tr>
      <w:tr>
        <w:trPr>
          <w:trHeight w:val="209"/>
        </w:trPr>
        <w:tc>
          <w:tcPr>
            <w:tcW w:w="80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2680" w:type="dxa"/>
            <w:vAlign w:val="bottom"/>
          </w:tcPr>
          <w:p>
            <w:pPr>
              <w:spacing w:after="0"/>
              <w:rPr>
                <w:sz w:val="18"/>
                <w:szCs w:val="18"/>
                <w:color w:val="auto"/>
              </w:rPr>
            </w:pPr>
          </w:p>
        </w:tc>
        <w:tc>
          <w:tcPr>
            <w:tcW w:w="29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10"/>
        </w:trPr>
        <w:tc>
          <w:tcPr>
            <w:tcW w:w="20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920" w:type="dxa"/>
            <w:vAlign w:val="bottom"/>
            <w:gridSpan w:val="5"/>
          </w:tcPr>
          <w:p>
            <w:pPr>
              <w:spacing w:after="0"/>
              <w:rPr>
                <w:sz w:val="18"/>
                <w:szCs w:val="18"/>
                <w:color w:val="auto"/>
              </w:rPr>
            </w:pPr>
          </w:p>
        </w:tc>
        <w:tc>
          <w:tcPr>
            <w:tcW w:w="29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line="20" w:lineRule="exact"/>
              <w:rPr>
                <w:sz w:val="1"/>
                <w:szCs w:val="1"/>
                <w:color w:val="auto"/>
              </w:rPr>
            </w:pPr>
          </w:p>
        </w:tc>
      </w:tr>
      <w:tr>
        <w:trPr>
          <w:trHeight w:val="209"/>
        </w:trPr>
        <w:tc>
          <w:tcPr>
            <w:tcW w:w="15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6420" w:type="dxa"/>
            <w:vAlign w:val="bottom"/>
            <w:gridSpan w:val="7"/>
          </w:tcPr>
          <w:p>
            <w:pPr>
              <w:spacing w:after="0"/>
              <w:rPr>
                <w:sz w:val="18"/>
                <w:szCs w:val="18"/>
                <w:color w:val="auto"/>
              </w:rPr>
            </w:pPr>
          </w:p>
        </w:tc>
        <w:tc>
          <w:tcPr>
            <w:tcW w:w="2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SELLING STOCKHOLDERS</w:t>
            </w:r>
          </w:p>
        </w:tc>
        <w:tc>
          <w:tcPr>
            <w:tcW w:w="29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09"/>
        </w:trPr>
        <w:tc>
          <w:tcPr>
            <w:tcW w:w="22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5780" w:type="dxa"/>
            <w:vAlign w:val="bottom"/>
            <w:gridSpan w:val="4"/>
          </w:tcPr>
          <w:p>
            <w:pPr>
              <w:spacing w:after="0"/>
              <w:rPr>
                <w:sz w:val="18"/>
                <w:szCs w:val="18"/>
                <w:color w:val="auto"/>
              </w:rPr>
            </w:pPr>
          </w:p>
        </w:tc>
        <w:tc>
          <w:tcPr>
            <w:tcW w:w="29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09"/>
        </w:trPr>
        <w:tc>
          <w:tcPr>
            <w:tcW w:w="20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EXPERTS</w:t>
            </w:r>
          </w:p>
        </w:tc>
        <w:tc>
          <w:tcPr>
            <w:tcW w:w="5960" w:type="dxa"/>
            <w:vAlign w:val="bottom"/>
            <w:gridSpan w:val="6"/>
          </w:tcPr>
          <w:p>
            <w:pPr>
              <w:spacing w:after="0"/>
              <w:rPr>
                <w:sz w:val="18"/>
                <w:szCs w:val="18"/>
                <w:color w:val="auto"/>
              </w:rPr>
            </w:pPr>
          </w:p>
        </w:tc>
        <w:tc>
          <w:tcPr>
            <w:tcW w:w="29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line="20" w:lineRule="exact"/>
              <w:rPr>
                <w:sz w:val="1"/>
                <w:szCs w:val="1"/>
                <w:color w:val="auto"/>
              </w:rPr>
            </w:pPr>
          </w:p>
        </w:tc>
      </w:tr>
      <w:tr>
        <w:trPr>
          <w:trHeight w:val="210"/>
        </w:trPr>
        <w:tc>
          <w:tcPr>
            <w:tcW w:w="14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6540" w:type="dxa"/>
            <w:vAlign w:val="bottom"/>
            <w:gridSpan w:val="8"/>
          </w:tcPr>
          <w:p>
            <w:pPr>
              <w:spacing w:after="0"/>
              <w:rPr>
                <w:sz w:val="18"/>
                <w:szCs w:val="18"/>
                <w:color w:val="auto"/>
              </w:rPr>
            </w:pPr>
          </w:p>
        </w:tc>
        <w:tc>
          <w:tcPr>
            <w:tcW w:w="2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9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0"/>
        </w:trPr>
        <w:tc>
          <w:tcPr>
            <w:tcW w:w="4400" w:type="dxa"/>
            <w:vAlign w:val="bottom"/>
            <w:gridSpan w:val="8"/>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line="20" w:lineRule="exact"/>
              <w:rPr>
                <w:sz w:val="1"/>
                <w:szCs w:val="1"/>
                <w:color w:val="auto"/>
              </w:rPr>
            </w:pPr>
          </w:p>
        </w:tc>
      </w:tr>
      <w:tr>
        <w:trPr>
          <w:trHeight w:val="209"/>
        </w:trPr>
        <w:tc>
          <w:tcPr>
            <w:tcW w:w="51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8"/>
                <w:szCs w:val="18"/>
                <w:color w:val="auto"/>
              </w:rPr>
            </w:pPr>
          </w:p>
        </w:tc>
        <w:tc>
          <w:tcPr>
            <w:tcW w:w="2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S-3 that we filed with the Securities and Exchange Commission (the “SEC”). Under this registration statement, the selling stockholders may, from time to time, sell in one or more offerings the common stock described in this prospectus.</w:t>
      </w:r>
    </w:p>
    <w:p>
      <w:pPr>
        <w:spacing w:after="0" w:line="14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40"/>
          </w:cols>
          <w:pgMar w:left="320" w:top="455" w:right="5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any applicable prospectus supplement or free writing prospectus, including the documents we have filed with the SEC that are incorporated by reference herein and therein, contain “forward-looking statements” within the meaning of Section 27A of the Securities Act of 1933, as amended, (the “Securities Act”) and Section 21E of the Securities Exchange Act of 1934, as amended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As such, our actual results may differ significantly from those expressed in any forward-looking statements. Given these uncertainties, you should not place undue reliance on these forward-looking statements.</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discuss many of these risks in greater detail under “Risk Factors” in this prospectus, in the “Business” and “Management’s Discussion and Analysis of Financial Condition and Results of Operations” sections incorporated by reference from our most recent Annual Report on Form 10-K and in our Quarterly Reports on Form 10-Q for the quarterly periods ended subsequent to our filing of such Annual Report on Form 10-K, as well as any amendments thereto reflected in subsequent filings with the SEC.</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that we have filed with the SEC that are incorporated by reference and any free writing prospectus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39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14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For a more complete understanding of our company, you should carefully read and consider the more detailed information included or incorporated by reference in this prospectus and, any applicable prospectus supplement and any related free writing prospectus, including the risks of investing in our securities discussed under the heading “Risk Factors” on page 9 of this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91" w:lineRule="exact"/>
        <w:rPr>
          <w:sz w:val="20"/>
          <w:szCs w:val="20"/>
          <w:color w:val="auto"/>
        </w:rPr>
      </w:pPr>
    </w:p>
    <w:p>
      <w:pPr>
        <w:ind w:left="300" w:right="44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prospectus to “CalciMedica,” “we,” “us,” “the Company” and “our” refer to CalciMedica, Inc.</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therapeutics that treat serious illnesses driven by inflammatory and immunologic processes and direct cellular damage. Our product candidates act upon calcium released-activated calcium (“CRAC”) channels and would constitute a new class of drugs. We are a company focused on the discovery and development of CRAC channel inhibitors. Clinical and preclinical data have demonstrated that the inhibition of CRAC channels may have a therapeutic effect based on a dual mechanism involving both anti-inflammatory and tissue cell protective activities. Our work has shown compelling evidence of the involvement of CRAC channels in a broad spectrum of both acute critical illnesses and chronic diseases that have the common thread of inflammation or immunologic activity in their pathogenesis. We intend to leverage our CRAC channel inhibitor platform to develop therapeutics for indications where this dual mechanism of action has the potential for clinical benefit.</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121" w:lineRule="exact"/>
        <w:rPr>
          <w:sz w:val="20"/>
          <w:szCs w:val="20"/>
          <w:color w:val="auto"/>
        </w:rPr>
      </w:pPr>
    </w:p>
    <w:p>
      <w:pPr>
        <w:ind w:left="300" w:firstLine="426"/>
        <w:spacing w:after="0" w:line="270" w:lineRule="auto"/>
        <w:rPr>
          <w:sz w:val="20"/>
          <w:szCs w:val="20"/>
          <w:color w:val="auto"/>
        </w:rPr>
      </w:pPr>
      <w:r>
        <w:rPr>
          <w:rFonts w:ascii="Times New Roman" w:cs="Times New Roman" w:eastAsia="Times New Roman" w:hAnsi="Times New Roman"/>
          <w:sz w:val="17"/>
          <w:szCs w:val="17"/>
          <w:color w:val="auto"/>
        </w:rPr>
        <w:t>On January 19, 2024, we entered into a Securities Purchase Agreement (the “Purchase Agreement”) with certain of the selling stockholders named in this prospectus, pursuant to which we sold the following securities to such selling stockholders in a private placement transaction (the “Private Placement”) (i) an aggregate of 4,985,610 shares (the “Shares”) of our common stock, par value $0.0001 per share; (ii) to certain selling stockholders, in lieu of Shares, pre-funded warrants (the “Pre-Funded Warrants”) to purchase an aggregate of 306,506 shares of our common stock;</w:t>
      </w:r>
    </w:p>
    <w:p>
      <w:pPr>
        <w:spacing w:after="0" w:line="3" w:lineRule="exact"/>
        <w:rPr>
          <w:sz w:val="20"/>
          <w:szCs w:val="20"/>
          <w:color w:val="auto"/>
        </w:rPr>
      </w:pPr>
    </w:p>
    <w:p>
      <w:pPr>
        <w:jc w:val="both"/>
        <w:ind w:left="300" w:right="120" w:hanging="2"/>
        <w:spacing w:after="0" w:line="265" w:lineRule="auto"/>
        <w:tabs>
          <w:tab w:leader="none" w:pos="612"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A Common Warrants (the “Tranche A Common Warrants”) to purchase an aggregate of up to 2,646,058 shares of our common stock (or Pre-Funded Warrants in lieu thereof and, in such case, shares of our common stock issuable upon exercise of such Pre-Funded Warrants); and</w:t>
      </w:r>
    </w:p>
    <w:p>
      <w:pPr>
        <w:ind w:left="300" w:right="80" w:hanging="2"/>
        <w:spacing w:after="0" w:line="252" w:lineRule="auto"/>
        <w:tabs>
          <w:tab w:leader="none" w:pos="60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B Common Warrants (the “Tranche B Common Warrants” and together with the Tranche A Common Warrants, the “Common Warrants”) to purchase an aggregate of up to 2,646,058 shares of our common stock (or Pre-Funded Warrants in lieu thereof and, in such case, shares of our common stock issuable upon exercise of such Pre-Funded Warrants). The Purchase Price per Share and accompanying Common Warrants is $3.827 (or $4.3915 for directors, employees or consultants participating in the Private Placement) (or $3.8269 per Pre-Funded Warrant and accompanying Common Warrants, which represents the price of $3.827 per Share and accompanying Common Warrants minus the $0.0001 per share exercise price of each such Pre-Funded Warrant).</w:t>
      </w:r>
    </w:p>
    <w:p>
      <w:pPr>
        <w:spacing w:after="0" w:line="190" w:lineRule="exact"/>
        <w:rPr>
          <w:sz w:val="20"/>
          <w:szCs w:val="20"/>
          <w:color w:val="auto"/>
        </w:rPr>
      </w:pPr>
    </w:p>
    <w:p>
      <w:pPr>
        <w:ind w:left="300" w:right="300" w:firstLine="426"/>
        <w:spacing w:after="0" w:line="282" w:lineRule="auto"/>
        <w:rPr>
          <w:sz w:val="20"/>
          <w:szCs w:val="20"/>
          <w:color w:val="auto"/>
        </w:rPr>
      </w:pPr>
      <w:r>
        <w:rPr>
          <w:rFonts w:ascii="Times New Roman" w:cs="Times New Roman" w:eastAsia="Times New Roman" w:hAnsi="Times New Roman"/>
          <w:sz w:val="18"/>
          <w:szCs w:val="18"/>
          <w:color w:val="auto"/>
        </w:rPr>
        <w:t>The Pre-Funded Warrants have an exercise price of $0.0001 per share, are exercisable immediately upon issuance and remain exercisable until exercised in full.</w:t>
      </w:r>
    </w:p>
    <w:p>
      <w:pPr>
        <w:spacing w:after="0" w:line="162"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The Tranche A Common Warrants are exercisable immediately upon issuance and will expire on the earlier of (i) 5:00 p.m. (New York City time) on December 31, 2024 and (ii) 30 days following our public disclosure of</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21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320"/>
        <w:spacing w:after="0" w:line="266" w:lineRule="auto"/>
        <w:rPr>
          <w:sz w:val="20"/>
          <w:szCs w:val="20"/>
          <w:color w:val="auto"/>
        </w:rPr>
      </w:pPr>
      <w:r>
        <w:rPr>
          <w:rFonts w:ascii="Times New Roman" w:cs="Times New Roman" w:eastAsia="Times New Roman" w:hAnsi="Times New Roman"/>
          <w:sz w:val="18"/>
          <w:szCs w:val="18"/>
          <w:color w:val="auto"/>
        </w:rPr>
        <w:t>topline results from our Phase 2b clinical trial in patients with acute pancreatitis (“AP”) (also referred to as the “CARPO” trial). The Tranche A Common Warrants may be exercised to purchase shares of our common stock (or, for certain selling stockholders, in lieu of shares, Pre-Funded Warrants) at an exercise price per share equal to $5.36 (or $5.3599 per Pre-Funded Warrant).</w:t>
      </w:r>
    </w:p>
    <w:p>
      <w:pPr>
        <w:spacing w:after="0" w:line="176" w:lineRule="exact"/>
        <w:rPr>
          <w:sz w:val="20"/>
          <w:szCs w:val="20"/>
          <w:color w:val="auto"/>
        </w:rPr>
      </w:pPr>
    </w:p>
    <w:p>
      <w:pPr>
        <w:ind w:left="300" w:right="160" w:firstLine="426"/>
        <w:spacing w:after="0" w:line="281" w:lineRule="auto"/>
        <w:rPr>
          <w:sz w:val="20"/>
          <w:szCs w:val="20"/>
          <w:color w:val="auto"/>
        </w:rPr>
      </w:pPr>
      <w:r>
        <w:rPr>
          <w:rFonts w:ascii="Times New Roman" w:cs="Times New Roman" w:eastAsia="Times New Roman" w:hAnsi="Times New Roman"/>
          <w:sz w:val="17"/>
          <w:szCs w:val="17"/>
          <w:color w:val="auto"/>
        </w:rPr>
        <w:t>The Tranche B Common Warrants are exercisable immediately upon issuance and will expire on the earlier of (i) 5:00 p.m. (New York City time) on December 31, 2026 and (ii) 30 days following our public disclosure of topline results from our planned Phase 2 clinical trial in patients with acute kidney injury (“AKI”). The Tranche B Common Warrants may be exercised to purchase shares of our common stock (or, for certain selling stockholders, in lieu of shares, Pre-Funded Warrants) at an exercise price per share equal to $7.15 (or $7.1499 per Pre-Funded Warrant).</w:t>
      </w:r>
    </w:p>
    <w:p>
      <w:pPr>
        <w:spacing w:after="0" w:line="164" w:lineRule="exact"/>
        <w:rPr>
          <w:sz w:val="20"/>
          <w:szCs w:val="20"/>
          <w:color w:val="auto"/>
        </w:rPr>
      </w:pPr>
    </w:p>
    <w:p>
      <w:pPr>
        <w:ind w:left="300" w:right="260" w:firstLine="426"/>
        <w:spacing w:after="0" w:line="282" w:lineRule="auto"/>
        <w:rPr>
          <w:sz w:val="20"/>
          <w:szCs w:val="20"/>
          <w:color w:val="auto"/>
        </w:rPr>
      </w:pPr>
      <w:r>
        <w:rPr>
          <w:rFonts w:ascii="Times New Roman" w:cs="Times New Roman" w:eastAsia="Times New Roman" w:hAnsi="Times New Roman"/>
          <w:sz w:val="18"/>
          <w:szCs w:val="18"/>
          <w:color w:val="auto"/>
        </w:rPr>
        <w:t>A holder of Warrants may not exercise any portion of such Warrants to the extent that the holder would beneficially own more than 4.99% (or, at the election of the holder 9.99% or 19.99%) of the outstanding shares of our common stock immediately after exercise.</w:t>
      </w:r>
    </w:p>
    <w:p>
      <w:pPr>
        <w:spacing w:after="0" w:line="162"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The initial closing of the Private Placement occurred on January 23, 2024 and the second closing is expected to occur on February 5, 2024. The purchasers in the second closing are irrevocably bound to purchase a set number of securities for a set purchase price as described above. The second closing is not subject to any closing conditions on the purchaser’s obligation to purchase the Shares and Common Warrants except our delivery of the Shares and Common Warrants to the purchasers at the second closing.</w:t>
      </w:r>
    </w:p>
    <w:p>
      <w:pPr>
        <w:spacing w:after="0" w:line="180"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In connection with the Private Placement, we entered into a registration rights agreement (“the Registration Rights Agreement”) with certain of the selling stockholders named in this prospectus pursuant to which we agreed to prepare and file, within 30 days after the date of the Registration Rights Agreement, a registration statement with the SEC to register the resale of (i) the Shares and (ii) shares of our common stock issuable upon exercise of Common Warrants and Pre-Funded Warrants issued in the Private Placement, and to use commercially reasonable efforts to cause such registration statement to become effective within 75 days after the date of the Registration Rights Agreement.</w:t>
      </w:r>
    </w:p>
    <w:p>
      <w:pPr>
        <w:spacing w:after="0" w:line="183"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JonesTrading Institutional Services LLC (“JonesTrading”) served as our exclusive placement agent in connection with the Private Placement and is entitled to a transaction fee of up to 5.00% of the aggregate gross proceeds of each closing of the Private Placement, payable in cash and/or, upon mutual agreement of us and JonesTrading, securities of us at each closing of the Private Placement. We agreed to pay certain expenses of JonesTrading and to issue to JonesTrading or its designees warrants (the “Placement Agent Warrants”) to purchase up to an aggregate of 67,908 shares of our common stock at the initial closing of the Private Placement and 7,839 shares of our common stock at the second closing of the Private Placement, in each case, at an exercise price equal to $0.0001 per share. The Placement Agent Warrants are exercisable immediately upon issuance and remain exercisable until exercised in full. Each Placement Agent Warrant will be accompanied by one Tranche A Common Warrant to purchase one half of a share of our common stock and one Tranche B Common Warrant to purchase one half of a share of our common stock, for an aggregate of 75,746 shares of our common stock underlying the Common Warrants (or Pre-Funded Warrants in lieu of shares of our common stock and, in such case, shares of our common stock issuable upon exercise of such Pre-Funded Warrants). A holder of Placement Agent Warrants may not exercise any portion of such Placement Agent Warrants to the extent that the holder would beneficially own more than 9.99% (or, at the election of the holder 19.99%) of the outstanding shares of our common stock immediately after exercise. The issuance of the Placement Agent Warrants and the Common Warrants at the second closing is not subject to any closing conditions other than the occurrence of the second closing of the Private Placement.</w:t>
      </w:r>
    </w:p>
    <w:p>
      <w:pPr>
        <w:spacing w:after="0" w:line="197" w:lineRule="exact"/>
        <w:rPr>
          <w:sz w:val="20"/>
          <w:szCs w:val="20"/>
          <w:color w:val="auto"/>
        </w:rPr>
      </w:pPr>
    </w:p>
    <w:p>
      <w:pPr>
        <w:ind w:left="300" w:right="400" w:firstLine="426"/>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regarding the Private Placement, see our Current Report on Form 8-K filed with the SEC on </w:t>
      </w:r>
      <w:r>
        <w:rPr>
          <w:rFonts w:ascii="Times New Roman" w:cs="Times New Roman" w:eastAsia="Times New Roman" w:hAnsi="Times New Roman"/>
          <w:sz w:val="18"/>
          <w:szCs w:val="18"/>
          <w:u w:val="single" w:color="auto"/>
          <w:color w:val="auto"/>
        </w:rPr>
        <w:t>January 22, 2024</w:t>
      </w:r>
      <w:r>
        <w:rPr>
          <w:rFonts w:ascii="Times New Roman" w:cs="Times New Roman" w:eastAsia="Times New Roman" w:hAnsi="Times New Roman"/>
          <w:sz w:val="18"/>
          <w:szCs w:val="18"/>
          <w:color w:val="auto"/>
        </w:rPr>
        <w:t xml:space="preserve"> and incorporated herein by reference.</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53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We were incorporated in Delaware in February 2015, upon conversion of Graybug, LLC, which was organized in May 2011. On March 20, 2023, we completed a merger transaction in accordance with the terms and conditions of that certain Agreement and Plan of Merger and Reorganization, dated as of November 21, 2022, as amended on February 10, 2023, by and among us (formerly, Graybug Vision, Inc., “Graybug”), Camaro Merger Sub, Inc. (“Merger Sub”) and CalciMedica Subsidiary Inc. (formerly, CalciMedica, Inc., “Private CalciMedica”), pursuant to which Merger Sub merged with and into Private CalciMedica with Private CalciMedica surviving the merger as a wholly owned subsidiary of us (the “Merger”). In connection with the Merger, we changed our name to CalciMedica, Inc. Our principal executive offices are located at 505 Coast Boulevard South, Suite 307, La Jolla, CA 92037, and our telephone number is (858) 952-5500. Our corporate website address is www.calcimedica.com. Information contained on or accessible through our website is not a part of this prospectus, the accompanying prospectus or any related free writing prospectus, and the inclusion of our website address in this prospectus is an inactive textual reference only.</w:t>
      </w:r>
    </w:p>
    <w:p>
      <w:pPr>
        <w:spacing w:after="0" w:line="188" w:lineRule="exact"/>
        <w:rPr>
          <w:sz w:val="20"/>
          <w:szCs w:val="20"/>
          <w:color w:val="auto"/>
        </w:rPr>
      </w:pPr>
    </w:p>
    <w:p>
      <w:pPr>
        <w:ind w:left="300" w:right="20" w:firstLine="426"/>
        <w:spacing w:after="0" w:line="233" w:lineRule="auto"/>
        <w:rPr>
          <w:sz w:val="20"/>
          <w:szCs w:val="20"/>
          <w:color w:val="auto"/>
        </w:rPr>
      </w:pPr>
      <w:r>
        <w:rPr>
          <w:rFonts w:ascii="Times New Roman" w:cs="Times New Roman" w:eastAsia="Times New Roman" w:hAnsi="Times New Roman"/>
          <w:sz w:val="18"/>
          <w:szCs w:val="18"/>
          <w:color w:val="auto"/>
        </w:rPr>
        <w:t xml:space="preserve">This prospectus contains references to our trademarks and to trademarks belonging to other entities. Solely for convenience, trademarks and trade names referred to in this prospectus, including logos, artwork and other visual displays,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independent auditor attestation requirements of Section 404 of the Sarbanes-Oxley Act of 2002, as amended, (2) reduced disclosure obligations regarding executive compensation in our periodic reports and proxy statements and (3)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periodic reports. We may take advantage of these exemptions until December 31, 2025 or until we are no longer an “emerging growth company,” whichever is earlier. We will cease to be an emerging growth company prior to the end of such period if certain earlier events occur, including if we become a “large accelerated filer” as defined in Rule 12b-2 under the Securities Exchange Act of 1934, as amended, (the “Exchange Act”), our annual gross revenues exceed $1.235 billion or we issue more than $1.0 billion of non-convertible debt in any three-year period.</w:t>
      </w:r>
    </w:p>
    <w:p>
      <w:pPr>
        <w:spacing w:after="0" w:line="192" w:lineRule="exact"/>
        <w:rPr>
          <w:sz w:val="20"/>
          <w:szCs w:val="20"/>
          <w:color w:val="auto"/>
        </w:rPr>
      </w:pPr>
    </w:p>
    <w:p>
      <w:pPr>
        <w:ind w:left="300" w:firstLine="426"/>
        <w:spacing w:after="0" w:line="272" w:lineRule="auto"/>
        <w:rPr>
          <w:sz w:val="20"/>
          <w:szCs w:val="20"/>
          <w:color w:val="auto"/>
        </w:rPr>
      </w:pPr>
      <w:r>
        <w:rPr>
          <w:rFonts w:ascii="Times New Roman" w:cs="Times New Roman" w:eastAsia="Times New Roman" w:hAnsi="Times New Roman"/>
          <w:sz w:val="17"/>
          <w:szCs w:val="17"/>
          <w:color w:val="auto"/>
        </w:rPr>
        <w:t>In addition, the JOBS Act provides that an emerging growth company can take advantage of an extended transition period for complying with new or revised accounting standards. This provision allows an emerging growth company to delay the adoption of accounting standards that have different effective dates for public and private companies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we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28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058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1058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We are also a “smaller reporting company” as defined in the Exchange Act. We may continue to be a smaller reporting company even after</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are no longer an emerging growth company. We may take advantage of certain of the scaled disclosures available to smaller reporting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companies and will be able to take advantage of these scaled disclosures for so long as our voting and non-voting common stock held by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non-affiliates is less than $250.0 million measured on the last business day of our second fiscal quarter, or our annual revenue is less than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$100.0 million during the most recently completed fiscal year and our voting and non-voting common stock held by non-affiliates is less than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$700.0 million measured on the last business day of our second fiscal quarter.</w:t>
      </w:r>
    </w:p>
    <w:p>
      <w:pPr>
        <w:spacing w:after="0" w:line="31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20"/>
          </w:cols>
          <w:pgMar w:left="320" w:top="455" w:right="8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44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6445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0940"/>
          </w:cols>
          <w:pgMar w:left="320" w:top="455" w:right="639" w:bottom="1440" w:gutter="0" w:footer="0" w:header="0"/>
        </w:sectPr>
      </w:pP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10,735,725 shares of our common stock, consisting of (a) (i) 4,985,610 Shares, (ii) 306,506 shares of our common stock issuable upon the exercise of the Pre-Funded Warrants, (iii) 2,646,058 shares of our common stock issuable upon the exercise of the Tranche A Common Warrants (or if such Tranche A Common Warrants are exercised for Pre-Funded Warrants in lieu of shares of our common stock, shares of our common stock issuable upon exercise of such Pre-Funded Warrants), and (iv) 2,646,058 shares of our common stock issuable upon the exercise of the Tranche B Common Warrants (or if such Tranche B Common Warrants are exercised for Pre-Funded Warrants in lieu of shares of our common stock, shares of our common stock issuable upon exercise of such Pre-Funded Warrants), all of which were or will be issued by us in the Private Placement pursuant to the Purchase Agreement, and (b) (i) 75,747 shares of common stock issuable upon exercise of Placement Agent Warrants, (ii) 37,873 shares of common stock issuable upon exercise of Tranche A Common Warrants (or if such Tranche A Common Warrants are exercised for Pre-Funded Warrants in lieu of shares of our common stock, shares of our common stock issuable upon exercise of such Pre-Funded Warrants) and (iii) 37,873 shares of common stock issuable upon exercise of Tranche B Common Warrants (or if such Tranche B Common Warrants are exercised for Pre-Funded Warrants in lieu of shares of our common stock, shares of our common stock issuable upon exercise of such Pre-Funded Warrants), all of which were or will be issued by us to JonesTrading as compensation for its services as placement agent of the Private Placement.</w:t>
      </w:r>
    </w:p>
    <w:p>
      <w:pPr>
        <w:spacing w:after="0" w:line="95" w:lineRule="exact"/>
        <w:rPr>
          <w:sz w:val="20"/>
          <w:szCs w:val="20"/>
          <w:color w:val="auto"/>
        </w:rPr>
      </w:pPr>
    </w:p>
    <w:p>
      <w:pPr>
        <w:sectPr>
          <w:pgSz w:w="11900" w:h="16838" w:orient="portrait"/>
          <w:cols w:equalWidth="0" w:num="2">
            <w:col w:w="3920" w:space="4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Terms of the offering</w:t>
      </w:r>
    </w:p>
    <w:p>
      <w:pPr>
        <w:spacing w:after="0" w:line="20" w:lineRule="exact"/>
        <w:rPr>
          <w:sz w:val="20"/>
          <w:szCs w:val="20"/>
          <w:color w:val="auto"/>
        </w:rPr>
      </w:pPr>
      <w:r>
        <w:rPr>
          <w:sz w:val="20"/>
          <w:szCs w:val="20"/>
          <w:color w:val="auto"/>
        </w:rPr>
        <w:br w:type="column"/>
      </w:r>
    </w:p>
    <w:p>
      <w:pPr>
        <w:ind w:right="520"/>
        <w:spacing w:after="0" w:line="282" w:lineRule="auto"/>
        <w:rPr>
          <w:sz w:val="20"/>
          <w:szCs w:val="20"/>
          <w:color w:val="auto"/>
        </w:rPr>
      </w:pPr>
      <w:r>
        <w:rPr>
          <w:rFonts w:ascii="Times New Roman" w:cs="Times New Roman" w:eastAsia="Times New Roman" w:hAnsi="Times New Roman"/>
          <w:sz w:val="18"/>
          <w:szCs w:val="18"/>
          <w:color w:val="auto"/>
        </w:rPr>
        <w:t>Each selling stockholder will determine when and how it will sell the common stock offered in this prospectus, as described in “Plan of Distribution.”</w:t>
      </w:r>
    </w:p>
    <w:p>
      <w:pPr>
        <w:spacing w:after="0" w:line="67"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covered by this prospectus. We will, however, receive the net proceeds of any warrants exercised for cash.</w:t>
      </w:r>
    </w:p>
    <w:p>
      <w:pPr>
        <w:spacing w:after="0" w:line="81"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400"/>
        <w:spacing w:after="0" w:line="282" w:lineRule="auto"/>
        <w:rPr>
          <w:sz w:val="20"/>
          <w:szCs w:val="20"/>
          <w:color w:val="auto"/>
        </w:rPr>
      </w:pPr>
      <w:r>
        <w:rPr>
          <w:rFonts w:ascii="Times New Roman" w:cs="Times New Roman" w:eastAsia="Times New Roman" w:hAnsi="Times New Roman"/>
          <w:sz w:val="18"/>
          <w:szCs w:val="18"/>
          <w:color w:val="auto"/>
        </w:rPr>
        <w:t>See “Risk Factors” on page 9 for a discussion of factors you should carefully consider before deciding to invest in our common stock.</w:t>
      </w:r>
    </w:p>
    <w:p>
      <w:pPr>
        <w:spacing w:after="0" w:line="67"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“CALC”</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39" w:lineRule="exact"/>
        <w:rPr>
          <w:sz w:val="20"/>
          <w:szCs w:val="20"/>
          <w:color w:val="auto"/>
        </w:rPr>
      </w:pPr>
    </w:p>
    <w:p>
      <w:pPr>
        <w:ind w:left="300" w:right="40" w:firstLine="426"/>
        <w:spacing w:after="0" w:line="274" w:lineRule="auto"/>
        <w:rPr>
          <w:sz w:val="20"/>
          <w:szCs w:val="20"/>
          <w:color w:val="auto"/>
        </w:rPr>
      </w:pPr>
      <w:r>
        <w:rPr>
          <w:rFonts w:ascii="Times New Roman" w:cs="Times New Roman" w:eastAsia="Times New Roman" w:hAnsi="Times New Roman"/>
          <w:sz w:val="17"/>
          <w:szCs w:val="17"/>
          <w:color w:val="auto"/>
        </w:rPr>
        <w:t>The selling stockholders named in this prospectus may offer and sell up to 10,735,725 shares of our common stock. Our common stock is currently listed on Nasdaq under the symbol “CALC.” Shares of our common stock that may be offered under this prospectus will be fully paid and non-assessable. We will not receive any of the proceeds of sales by the selling stockholders of any of the common stock covered by this prospectus. We will, however, receive the exercise price of $0.0001 per share of any of the Pre-Funded Warrants or Placement Agent Warrants exercised for cash, the exercise price of $5.36 per share (or $5.3599 per Pre-Funded Warrant) of any of the Tranche A Common Warrants exercised for cash and the exercise price of $7.15 per share (or $7.1499 per Pre-Funded Warrant) of any of the Tranche B Common Warrants exercised for</w:t>
      </w:r>
    </w:p>
    <w:p>
      <w:pPr>
        <w:spacing w:after="0" w:line="2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058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1058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cash. Throughout this prospectus, when we refer to the shares of our common stock being registered on behalf of the selling stockholders for offer and resale, we are referring to the Shares and the shares of common stock issuable upon exercise of the Pre-Funded Warrants, Placement Agent Warrants and Common Warrants were or will be issued in connection with the Private Placement as described above. When we refer to the selling stockholders in this prospectus, we are referring to the selling stockholders identified in this prospectus and, as applicable, their permitted transferees or other successors-in-interest that may be identified in a supplement to this prospectus or, if required, a post-effective amendment to the registration statement of which this prospectus is a part.</w:t>
      </w:r>
    </w:p>
    <w:p>
      <w:pPr>
        <w:spacing w:after="0" w:line="29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20"/>
          </w:cols>
          <w:pgMar w:left="320" w:top="455" w:right="7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heading “Risk Factors” contained in our most recent Annual Report on Form 10-K and in our subsequent Quarterly Reports on Form 10-Q, as filed with the SEC,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titled “Special Note Regarding Forward-Looking Statements.”</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40"/>
          </w:cols>
          <w:pgMar w:left="320" w:top="455" w:right="5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will not receive any of the proceeds from the sale or other disposition of shares of our common stock held by the selling stockholders pursuant to this prospectus. Upon any exercise of the Pre-Funded Warrants, Placement Agent Warrants or Common Warrants for cash, the applicable selling stockholder would pay us the exercise price set forth in the Pre-Funded Warrants, Placement Agent Warrants or Common Warrants, as applicable.</w:t>
      </w:r>
    </w:p>
    <w:p>
      <w:pPr>
        <w:spacing w:after="0" w:line="15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will bear the out-of-pocket costs, expenses and fees incurred in connection with the registration of shares of our common stock to be sold by the selling stockholders pursuant to this prospectus. Other than registration expenses, the selling stockholders will bear their own broker or similar commissions payable with respect to sales of shares of our common stock.</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shares of our common stock being offered by the selling stockholders are those (i) that were or will be issued to the selling stockholders in connection with the Private Placement and (ii) issuable to the selling stockholders upon exercise of the Pre-Funded Warrants, Placement Agent Warrants and Common Warrants that were or will be issued to the selling stockholders in connection with the Private Placement. For additional information regarding the issuance of Shares, Pre-Funded Warrants, Placement Agent Warrants and Common Warrants, see the section “Prospectus Summary— Private Placement” above. We are registering the resale of Shares and shares of our common stock issuable upon exercise of the Pre-Funded Warrants, Placement Agent Warrants and Common Warrants in order to permit the selling stockholders to offer the shares of our common stock for resale from time to time. Except for the ownership of the Shares, Pre-Funded Warrants, Placement Agent Warrants and Common Warrants and for the selling stockholders whose other relationships are provided in “Certain Relationships and Related Party Transactions,” the selling stockholders have not had any material relationship with us within the past three years.</w:t>
      </w:r>
    </w:p>
    <w:p>
      <w:pPr>
        <w:spacing w:after="0" w:line="188"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of the shares of common stock by each of the selling stockholders. This information has been obtained from the selling stockholders or in Schedules 13G or 13D and other public documents filed with the SEC. The second column lists the number of shares of common stock beneficially owned by each selling stockholder, based on its ownership of Shares, Pre-Funded Warrants, Placement Agent Warrants and Common Warrants, as of January 25, 2024, assuming exercise of the Pre-Funded Warrants, Placement Agent Warrants and Common Warrants held by the selling stockholders on that date (or acquirable upon the second closing of the Private Placement), without regard to any limitations on exercises. The percentage of shares owned after the offering in the fifth column is based on 10,257,077 shares of common stock outstanding as of January 25, 2024. The fourth column assumes the sale of all of the shares offered by the selling stockholders pursuant to this prospectus.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accordance with the terms of the Registration Rights Agreement, this prospectus generally covers the resale of the sum of (i) the Shares and</w:t>
      </w:r>
    </w:p>
    <w:p>
      <w:pPr>
        <w:spacing w:after="0" w:line="27" w:lineRule="exact"/>
        <w:rPr>
          <w:sz w:val="20"/>
          <w:szCs w:val="20"/>
          <w:color w:val="auto"/>
        </w:rPr>
      </w:pPr>
    </w:p>
    <w:p>
      <w:pPr>
        <w:ind w:left="120" w:right="20" w:hanging="4"/>
        <w:spacing w:after="0" w:line="251" w:lineRule="auto"/>
        <w:tabs>
          <w:tab w:leader="none" w:pos="3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our common stock issuable upon exercise of the Pre-Funded Warrants and Common Warrants that were or will be issued to the purchasers in the Private Placement. In addition, this prospectus generally covers the resale of the maximum number of shares of our common stock issuable upon exercise of the Placement Agent Warrants and Common Warrants that were or will be issued to JonesTrading as compensation for its services as placement agent in the Private Placement. In each case, this maximum amount is determined as if (x) all of the Shares, Pre-Funded Warrants, Placement Agent Warrants and Common Warrants issuable on the second closing have been issued and (y) the outstanding Pre-Funded Warrants, Placement Agent Warrants and Common Warrants were exercised in full for shares of our common stock, in each case, as of the trading day immediately preceding the date this registration statement was initially filed with the SEC, subject to adjustment as provided in the Registration Rights Agreement and without regard to any limitations on the exercise of the Pre-Funded Warrants, Placement Agent Warrants and Common Warrants. Under the terms of the Pre-Funded Warrants, Placement Agent Warrants and Common Warrants, a selling stockholder may not exercise the Pre-Funded Warrants, Placement Agent Warrant or Common Warrants to the extent such exercise would cause such selling stockholder, together with its affiliates and attribution parties, to beneficially own a number of shares of our common stock which would exceed 4.99%, 9.99% or 19.99%, as applicable to each holder, of the number of shares of our common stock outstanding following such exercise (for purposes of the denominator, immediately after giving effect to the issuance of shares of our common stock to be issued upon the applicable exercise of such Pre-Funded Warrant, Placement Agent Warrant or Common Warrant). The number of shares in the second and third columns do not reflect this limitation. The selling stockholders may sell all, some or none of their shares in this offering. See the section “Plan of Distribution.”</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Prior to This</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1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0" w:type="dxa"/>
            <w:vAlign w:val="bottom"/>
          </w:tcPr>
          <w:p>
            <w:pPr>
              <w:spacing w:after="0"/>
              <w:rPr>
                <w:sz w:val="1"/>
                <w:szCs w:val="1"/>
                <w:color w:val="auto"/>
              </w:rPr>
            </w:pPr>
          </w:p>
        </w:tc>
      </w:tr>
      <w:tr>
        <w:trPr>
          <w:trHeight w:val="117"/>
        </w:trPr>
        <w:tc>
          <w:tcPr>
            <w:tcW w:w="56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Voting Power</w:t>
            </w:r>
          </w:p>
        </w:tc>
        <w:tc>
          <w:tcPr>
            <w:tcW w:w="0" w:type="dxa"/>
            <w:vAlign w:val="bottom"/>
          </w:tcPr>
          <w:p>
            <w:pPr>
              <w:spacing w:after="0"/>
              <w:rPr>
                <w:sz w:val="1"/>
                <w:szCs w:val="1"/>
                <w:color w:val="auto"/>
              </w:rPr>
            </w:pPr>
          </w:p>
        </w:tc>
      </w:tr>
      <w:tr>
        <w:trPr>
          <w:trHeight w:val="148"/>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60" w:type="dxa"/>
            <w:vAlign w:val="bottom"/>
            <w:vMerge w:val="restart"/>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Shares Being</w:t>
            </w: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vMerge w:val="restart"/>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After This</w:t>
            </w:r>
          </w:p>
        </w:tc>
        <w:tc>
          <w:tcPr>
            <w:tcW w:w="0" w:type="dxa"/>
            <w:vAlign w:val="bottom"/>
          </w:tcPr>
          <w:p>
            <w:pPr>
              <w:spacing w:after="0"/>
              <w:rPr>
                <w:sz w:val="1"/>
                <w:szCs w:val="1"/>
                <w:color w:val="auto"/>
              </w:rPr>
            </w:pPr>
          </w:p>
        </w:tc>
      </w:tr>
      <w:tr>
        <w:trPr>
          <w:trHeight w:val="173"/>
        </w:trPr>
        <w:tc>
          <w:tcPr>
            <w:tcW w:w="564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3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CEEFF"/>
            </w:tcBorders>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 Rachel Leheny</w:t>
            </w:r>
            <w:r>
              <w:rPr>
                <w:rFonts w:ascii="Times New Roman" w:cs="Times New Roman" w:eastAsia="Times New Roman" w:hAnsi="Times New Roman"/>
                <w:sz w:val="24"/>
                <w:szCs w:val="24"/>
                <w:color w:val="auto"/>
                <w:vertAlign w:val="superscript"/>
              </w:rPr>
              <w:t>(1)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1,163,310</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182,172</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981,138</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5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Aisling Capital V, LP</w:t>
            </w:r>
            <w:r>
              <w:rPr>
                <w:rFonts w:ascii="Times New Roman" w:cs="Times New Roman" w:eastAsia="Times New Roman" w:hAnsi="Times New Roman"/>
                <w:sz w:val="25"/>
                <w:szCs w:val="25"/>
                <w:color w:val="auto"/>
                <w:vertAlign w:val="superscript"/>
              </w:rPr>
              <w:t>(2)</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1,042,228</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1,042,228</w:t>
            </w: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Alafi Capital Co. LLC</w:t>
            </w:r>
            <w:r>
              <w:rPr>
                <w:rFonts w:ascii="Times New Roman" w:cs="Times New Roman" w:eastAsia="Times New Roman" w:hAnsi="Times New Roman"/>
                <w:sz w:val="25"/>
                <w:szCs w:val="25"/>
                <w:color w:val="auto"/>
                <w:vertAlign w:val="superscript"/>
              </w:rPr>
              <w:t>(3)</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522,604</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522,604</w:t>
            </w: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Alyeska Master Fund, LP</w:t>
            </w:r>
            <w:r>
              <w:rPr>
                <w:rFonts w:ascii="Times New Roman" w:cs="Times New Roman" w:eastAsia="Times New Roman" w:hAnsi="Times New Roman"/>
                <w:sz w:val="25"/>
                <w:szCs w:val="25"/>
                <w:color w:val="auto"/>
                <w:vertAlign w:val="superscript"/>
              </w:rPr>
              <w:t>(4)</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522,604</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522,604</w:t>
            </w: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Bering Partners II, L.P.</w:t>
            </w:r>
            <w:r>
              <w:rPr>
                <w:rFonts w:ascii="Times New Roman" w:cs="Times New Roman" w:eastAsia="Times New Roman" w:hAnsi="Times New Roman"/>
                <w:sz w:val="25"/>
                <w:szCs w:val="25"/>
                <w:color w:val="auto"/>
                <w:vertAlign w:val="superscript"/>
              </w:rPr>
              <w:t>(5)</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604,715</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522,604</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82,111</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Bigger Capital Fund, LP</w:t>
            </w:r>
            <w:r>
              <w:rPr>
                <w:rFonts w:ascii="Times New Roman" w:cs="Times New Roman" w:eastAsia="Times New Roman" w:hAnsi="Times New Roman"/>
                <w:sz w:val="25"/>
                <w:szCs w:val="25"/>
                <w:color w:val="auto"/>
                <w:vertAlign w:val="superscript"/>
              </w:rPr>
              <w:t>(6)</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130,652</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130,652</w:t>
            </w: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Deerfield Partners, L.P.</w:t>
            </w:r>
            <w:r>
              <w:rPr>
                <w:rFonts w:ascii="Times New Roman" w:cs="Times New Roman" w:eastAsia="Times New Roman" w:hAnsi="Times New Roman"/>
                <w:sz w:val="25"/>
                <w:szCs w:val="25"/>
                <w:color w:val="auto"/>
                <w:vertAlign w:val="superscript"/>
              </w:rPr>
              <w:t>(7)</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2,613,012</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2,613,012</w:t>
            </w: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District 2 Capital Fund LP</w:t>
            </w:r>
            <w:r>
              <w:rPr>
                <w:rFonts w:ascii="Times New Roman" w:cs="Times New Roman" w:eastAsia="Times New Roman" w:hAnsi="Times New Roman"/>
                <w:sz w:val="25"/>
                <w:szCs w:val="25"/>
                <w:color w:val="auto"/>
                <w:vertAlign w:val="superscript"/>
              </w:rPr>
              <w:t>(8)</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130,652</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130,652</w:t>
            </w: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Sanderling Ventures</w:t>
            </w:r>
            <w:r>
              <w:rPr>
                <w:rFonts w:ascii="Times New Roman" w:cs="Times New Roman" w:eastAsia="Times New Roman" w:hAnsi="Times New Roman"/>
                <w:sz w:val="25"/>
                <w:szCs w:val="25"/>
                <w:color w:val="auto"/>
                <w:vertAlign w:val="superscript"/>
              </w:rPr>
              <w:t>(9)</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3,073,207</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1,358,768</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1,714,439</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5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Soleus Capital</w:t>
            </w:r>
            <w:r>
              <w:rPr>
                <w:rFonts w:ascii="Times New Roman" w:cs="Times New Roman" w:eastAsia="Times New Roman" w:hAnsi="Times New Roman"/>
                <w:sz w:val="25"/>
                <w:szCs w:val="25"/>
                <w:color w:val="auto"/>
                <w:vertAlign w:val="superscript"/>
              </w:rPr>
              <w:t>(10)</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1,567,808</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1,567,808</w:t>
            </w: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Eric W. Roberts</w:t>
            </w:r>
            <w:r>
              <w:rPr>
                <w:rFonts w:ascii="Times New Roman" w:cs="Times New Roman" w:eastAsia="Times New Roman" w:hAnsi="Times New Roman"/>
                <w:sz w:val="25"/>
                <w:szCs w:val="25"/>
                <w:color w:val="auto"/>
                <w:vertAlign w:val="superscript"/>
              </w:rPr>
              <w:t>(11)</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1,135,460</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182,172</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953,288</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5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Lytton-Kambara Foundation</w:t>
            </w:r>
            <w:r>
              <w:rPr>
                <w:rFonts w:ascii="Times New Roman" w:cs="Times New Roman" w:eastAsia="Times New Roman" w:hAnsi="Times New Roman"/>
                <w:sz w:val="25"/>
                <w:szCs w:val="25"/>
                <w:color w:val="auto"/>
                <w:vertAlign w:val="superscript"/>
              </w:rPr>
              <w:t>(12)</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522,604</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522,604</w:t>
            </w: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Mesa Verde Venture Partners III, LP</w:t>
            </w:r>
            <w:r>
              <w:rPr>
                <w:rFonts w:ascii="Times New Roman" w:cs="Times New Roman" w:eastAsia="Times New Roman" w:hAnsi="Times New Roman"/>
                <w:sz w:val="25"/>
                <w:szCs w:val="25"/>
                <w:color w:val="auto"/>
                <w:vertAlign w:val="superscript"/>
              </w:rPr>
              <w:t>(13)</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176,119</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104,520</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71,599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Robert N. Wilson</w:t>
            </w:r>
            <w:r>
              <w:rPr>
                <w:rFonts w:ascii="Times New Roman" w:cs="Times New Roman" w:eastAsia="Times New Roman" w:hAnsi="Times New Roman"/>
                <w:sz w:val="25"/>
                <w:szCs w:val="25"/>
                <w:color w:val="auto"/>
                <w:vertAlign w:val="superscript"/>
              </w:rPr>
              <w:t>(14)</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381,317</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136,628</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244,689</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Stonepine Capital, LP</w:t>
            </w:r>
            <w:r>
              <w:rPr>
                <w:rFonts w:ascii="Times New Roman" w:cs="Times New Roman" w:eastAsia="Times New Roman" w:hAnsi="Times New Roman"/>
                <w:sz w:val="25"/>
                <w:szCs w:val="25"/>
                <w:color w:val="auto"/>
                <w:vertAlign w:val="superscript"/>
              </w:rPr>
              <w:t>(15)</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1,045,204</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1,045,204</w:t>
            </w: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55"/>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JonesTrading Institutional Services LLC</w:t>
            </w:r>
            <w:r>
              <w:rPr>
                <w:rFonts w:ascii="Times New Roman" w:cs="Times New Roman" w:eastAsia="Times New Roman" w:hAnsi="Times New Roman"/>
                <w:sz w:val="26"/>
                <w:szCs w:val="26"/>
                <w:color w:val="auto"/>
                <w:vertAlign w:val="superscript"/>
              </w:rPr>
              <w:t>(16)</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151,493</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151,493</w:t>
            </w: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40" w:hanging="424"/>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less than 1%.</w:t>
      </w:r>
    </w:p>
    <w:p>
      <w:pPr>
        <w:spacing w:after="0" w:line="27" w:lineRule="exact"/>
        <w:rPr>
          <w:sz w:val="20"/>
          <w:szCs w:val="20"/>
          <w:color w:val="auto"/>
        </w:rPr>
      </w:pPr>
    </w:p>
    <w:p>
      <w:pPr>
        <w:ind w:left="540" w:right="2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356,989 shares of common stock held by Valence Investments SPV IV, LLC (Valence IV), (ii) 66,228 shares of common stock and 19,870 shares of common stock issuable upon exercise of warrants held by Valence Investments SPV V, LLC (Valence V), (iii) 316,109 shares of common stock held by Valence Investments SPV VI, LLC (Valence VI), (iv) 1,000 shares held by Dr. Leheny’s spouse, (v) 109,926 shares of common stock held directly by Dr. Leheny, (vi) 91,086 shares of common stock issuable upon exercise of Common Warrants held by Dr. Leheny, and (vii) 202,102 shares of common stock Dr. Leheny has the right to acquire within 60 days of January 25, 2024 pursuant to the exercise of stock options. The number in the column “Maximum Number of Shares Being Offered” consists of (i) 91,086 Shares and (ii) 91,086 shares of common stock issuable upon exercise of Common Warrants. Dr. Leheny and Mr. Roberts are the co-founders and managing directors of Valence IV, Valence V and Valence VI, have shared voting and dispositive power with respect to shares held by such entities, and disclaim beneficial ownership of such shares except to the extent of her pecuniary interest therein. The principal business address of Valence Investment LLC is 590 Madison Avenue, 21st Floor, New York, NY 10022.</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521,114 Shares and (ii) 521,114 shares of common stock issuable upon exercise of Common Warrants held directly by Aisling Capital V, LP (“Aisling V”) and held indirectly by Aisling Capital Partners V, LP (“Aisling GP V”), as general partner of Aisling V, Aisling Capital Partners V LLC (“Aisling Partners V”), as general partner of Aisling GP V, and each of the individual managing members of Aisling Partners V. The individual managing members (collectively, the “Managers”) of Aisling Partners V are Dr. Andrew Schiff and Steve Elms. Aisling GP V, Aisling Partners V and the Managers share voting and dispositive power over the shares directly held by Aisling V. Each of Aisling GP V, Aisling Partners V and the Managers may be deemed to be the beneficial owner of the securities listed above only to the extent of its pecuniary interest therein. The above information shall not be deemed an admission that any of Aisling GP V, Aisling Partners V or any of the Managers is the beneficial owner of any securities reported herein. The address of the principal business offices of each of these entities and persons is 489 Fifth Avenue, 10th Floor, New York, NY 10017. The shares of common stock issuable upon exercise of the Common Warrants held by Aisling V are subject to a beneficial ownership limitation of 4.99%.</w:t>
      </w:r>
    </w:p>
    <w:p>
      <w:pPr>
        <w:spacing w:after="0" w:line="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261,302 Shares and (ii) 261,302 shares of common stock issuable upon exercise of Common Warrants.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40" w:hanging="424"/>
        <w:spacing w:after="0" w:line="253"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261,302 Shares and (ii) 261,302 shares of common stock issuable upon exercise of Common Warrants. Alyeska Investment Group, L.P., the investment manager of Alyeska Master Fund, L.P. (the “Selling Securityholder”), has voting and investment control of the shares held by the Selling Securityholder. Anand Parekh is the Chief Executive Officer of Alyeska Investment Group, L.P. and may be deemed to be the beneficial owner of such shares. Mr. Parekh, however, disclaims any beneficial ownership of the shares held by the Selling Securityholder. The registered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2"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82,111 shares of common stock, (ii) 261,302 Shares and (iii) 261,302 shares of common stock issuable upon exercise of Common Warrants. The number in the column “Maximum Number of Shares Being Offered” consists of (i) 261,302 Shares and (ii) 261,302 shares of common stock issuable upon exercise of Common Warrants.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65,326 Shares and (ii) 65,326 shares of common stock issuable upon exercise of Common Warrants.</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1,000,000 Shares, (ii) 306,506 shares of common stock issuable upon exercise of Pre-Funded Warrants and (iii) 1,306,506 shares of common stock issuable upon exercise of Common Warrants held by Deerfield Partners, L.P. The general partner of Deerfield Partners, L.P. is Deerfield Mgmt, L.P. Deerfield Management Company, L.P. is the investment manager of Deerfield Partners, L.P. James E. Flynn is the sole member of the general partner of each of Deerfield Mgmt, L.P. and Deerfield Management Company, L.P. Under the terms of the Pre-Funded Warrants and Common Warrants, the selling stockholder may not exercise the Pre-Funded Warrants or Common Warrants to the extent such exercise would cause such selling stockholder, together with its affiliates and attribution parties, to beneficially own a number of shares of common stock which would exceed 9.99% of the number of shares of common stock outstanding following such exercise (for purposes of the denominator, immediately after giving effect to the issuance of shares of common stock to be issued upon the applicable exercise of such Pre-Funded Warrant or Common Warrant) (the “Ownership Cap”). Accordingly, notwithstanding the number of shares reported, the selling stockholder disclaims beneficial ownership of the shares of common stock issuable upon exercise of such Pre-Funded Warrants and Common Warrants to the extent that upon such exercise the number of shares beneficially owned by the selling stockholder would exceed the Ownership Cap.</w:t>
      </w:r>
    </w:p>
    <w:p>
      <w:pPr>
        <w:spacing w:after="0" w:line="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65,326 Shares and (ii) 65,326 shares of common stock issuable upon exercise of Common Warrants.</w:t>
      </w:r>
    </w:p>
    <w:p>
      <w:pPr>
        <w:spacing w:after="0" w:line="9"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946,744 shares of common stock and 265,252 shares of common stock issuable upon exercise of warrants held by Sanderling Venture Partners VI, LP, (ii) 727,433 shares of common stock and 168,841 shares of common stock issuable upon exercise of warrants held by Sanderling Venture Partners VI Co-Investment Fund, L.P., (iii) 21,602 shares of common stock and 4,340 shares of common stock issuable upon exercise of warrants held by Sanderling Ventures Management VI, (iv) 30,292 shares of common stock and 29,024 shares of common stock issuable upon exercise of warrants held by Sanderling Ventures Management VII, (v) 114,260 shares of common stock and 56,484 shares of common stock issuable upon exercise of warrants held by Sanderling Ventures VII (Canada), LP, (vi) 27,609 shares of common stock and 14,593 shares of common stock issuable upon exercise of warrants held by Sanderling Ventures VII Annex Fund, L.P., (vii) 435,148 shares of common stock and 215,245 shares of common stock issuable upon exercise of warrants held by Sanderling Ventures VII, L.P., (viii) 7,456 shares of the common stock held by Sanderling VI Beteiligungs GmbH &amp; Co KG and (ix) 8,884 shares of common stock held by Sanderling VI Limited Partnership. Mr. Middleton is a managing director at Sanderling Ventures. Mr. Middleton has shared voting and dispositive power with respect to the foregoing shares beneficially owned by Sanderling Ventures and disclaims beneficial ownership of such shares except to the extent of his respective pecuniary interest therein. The address of Sanderling Ventures is 1300 S. El Camino Real, Suite 203, San Mateo, CA 94402.</w:t>
      </w:r>
    </w:p>
    <w:p>
      <w:pPr>
        <w:spacing w:after="0" w:line="4" w:lineRule="exact"/>
        <w:rPr>
          <w:rFonts w:ascii="Times New Roman" w:cs="Times New Roman" w:eastAsia="Times New Roman" w:hAnsi="Times New Roman"/>
          <w:sz w:val="18"/>
          <w:szCs w:val="18"/>
          <w:color w:val="auto"/>
        </w:rPr>
      </w:pPr>
    </w:p>
    <w:p>
      <w:pPr>
        <w:ind w:left="540" w:right="240" w:hanging="424"/>
        <w:spacing w:after="0" w:line="253"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391,952 Shares held by Soleus Capital Master Fund, L.P. (“Soleus Master Fund”), (ii) 391,952 shares of common stock issuable upon exercise of Common Warrants held by Soleus Master Fund, (iii) 391,952 Shares that will be issued to Soleus Private Equity Fund III, L.P. (“Soleus PE Fund III”) on the second closing of the Private Placement and (iv) 391,952 shares of common stock issuable upon exercise of Common Warrants that will be issued to Soleus PE Fund III on the second closing of the Private Placement.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80"/>
        <w:spacing w:after="0" w:line="253" w:lineRule="auto"/>
        <w:rPr>
          <w:sz w:val="20"/>
          <w:szCs w:val="20"/>
          <w:color w:val="auto"/>
        </w:rPr>
      </w:pPr>
      <w:r>
        <w:rPr>
          <w:rFonts w:ascii="Times New Roman" w:cs="Times New Roman" w:eastAsia="Times New Roman" w:hAnsi="Times New Roman"/>
          <w:sz w:val="18"/>
          <w:szCs w:val="18"/>
          <w:color w:val="auto"/>
        </w:rPr>
        <w:t>Soleus Capital, LLC (“Soleus Capital”) is the sole general partner of Soleus Master Fund and thus holds voting and dispositive power over the shares held by Soleus Master Fund. Soleus Capital Group, LLC (“SCG”) is the sole managing member of Soleus Capital. Guy Levy is the sole managing member of SCG. Each of SCG, Soleus Capital and Mr. Levy disclaims beneficial ownership of these securities held by Soleus Master Fund, except to the extent of his or their respective pecuniary interests therein. Soleus Private Equity GP III, LLC is the sole general partner of Soleus PE Fund III. Soleus PE GP III, LLC is the sole manager of Soleus Private Equity GP III, LLC. Mr. Levy is the sole managing member of Soleus PE GP III, LLC. Each of Mr. Levy, Soleus PE GP III, LLC and Soleus Private Equity GP III, LLC disclaims beneficial ownership of the securities held by the Soleus PE Fund III, except to the extent of their respective pecuniary interests therein.</w:t>
      </w:r>
    </w:p>
    <w:p>
      <w:pPr>
        <w:spacing w:after="0" w:line="3" w:lineRule="exact"/>
        <w:rPr>
          <w:sz w:val="20"/>
          <w:szCs w:val="20"/>
          <w:color w:val="auto"/>
        </w:rPr>
      </w:pPr>
    </w:p>
    <w:p>
      <w:pPr>
        <w:jc w:val="both"/>
        <w:ind w:left="540" w:right="100" w:hanging="424"/>
        <w:spacing w:after="0" w:line="265" w:lineRule="auto"/>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356,989 shares of common stock held by Valence Investments SPV IV, LLC (Valence IV), (ii) 66,228 shares of common stock and 19,870 shares of common stock issuable upon exercise of warrants held by Valence Investments SPV V, LLC (Valence V), (iii) 316,109 shares of common stock held by Valence Investments SPV VI, LLC (Valence VI), (iv) 111,373 shares of common stock held directly by Mr. Roberts,</w:t>
      </w:r>
    </w:p>
    <w:p>
      <w:pPr>
        <w:ind w:left="540" w:right="10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91,086 of which will be issued on the second closing of the Private Placement, (v) 10,661 shares of common stock held by IRA Financial Trust Company, CFBO Eric W. Roberts, (vi) 5,223 shares of common stock held by FMTC Custodian—Roth IRA FBO Eric W. Roberts, (vii) 35,894 shares of common stock held by Oppenheimer &amp; Co Inc. Custodian FBO Eric W Roberts Roth IRA, (viii) 2,142 shares of common stock that Mr. Roberts has the right to acquire within 60 days of January 25, 2024 pursuant to the exercise of warrants held by Mr. Roberts, (ix) 91,086 shares of common stock issuable upon exercise of Common Warrants that will be issued to Mr. Roberts on the second closing of the Private Placement, and (x) 119,885 shares of common stock Mr. Roberts has the right to acquire within 60 days of January 25, 2024 pursuant to the exercise of stock options. The number in the column “Maximum Number of Shares Being Offered” consists of (i) 91,086 Shares that will be issued on the second closing and (ii) 91,086 shares of common stock issuable upon exercise of Common Warrants that will be issued on the second closing. Dr. Leheny and Mr. Roberts are the co-founders and managing directors of Valence IV, Valence V and Valence VI, have shared voting and dispositive power with respect to shares held by such entities, and disclaim beneficial ownership of such shares except to the extent of his pecuniary interest therein. The principal business address of Valence Investment LLC is 590 Madison Avenue, 21st Floor, New York, NY 10022.</w:t>
      </w:r>
    </w:p>
    <w:p>
      <w:pPr>
        <w:spacing w:after="0" w:line="4"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261,302 Shares and (ii) 261,302 shares of common stock issuable upon exercise of Common Warrants.</w:t>
      </w:r>
    </w:p>
    <w:p>
      <w:pPr>
        <w:spacing w:after="0" w:line="9" w:lineRule="exact"/>
        <w:rPr>
          <w:rFonts w:ascii="Times New Roman" w:cs="Times New Roman" w:eastAsia="Times New Roman" w:hAnsi="Times New Roman"/>
          <w:sz w:val="18"/>
          <w:szCs w:val="18"/>
          <w:color w:val="auto"/>
        </w:rPr>
      </w:pPr>
    </w:p>
    <w:p>
      <w:pPr>
        <w:ind w:left="540" w:right="32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71,599 shares of common stock, (ii) 52,260 Shares and (iii) 52,260 shares of common stock issuable upon exercise of Common Warrants. The number in the column “Maximum Number of Shares Being Offered” consists of (i) 52,260 Shares and (ii) 52,260 shares of common stock issuable upon exercise of Common Warrants.</w:t>
      </w:r>
    </w:p>
    <w:p>
      <w:pPr>
        <w:spacing w:after="0" w:line="1" w:lineRule="exact"/>
        <w:rPr>
          <w:rFonts w:ascii="Times New Roman" w:cs="Times New Roman" w:eastAsia="Times New Roman" w:hAnsi="Times New Roman"/>
          <w:sz w:val="18"/>
          <w:szCs w:val="18"/>
          <w:color w:val="auto"/>
        </w:rPr>
      </w:pPr>
    </w:p>
    <w:p>
      <w:pPr>
        <w:ind w:left="540" w:hanging="424"/>
        <w:spacing w:after="0" w:line="265" w:lineRule="auto"/>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250,475 shares of common stock held by Mr. Wilson, (ii) 17,184 shares of common stock that Mr. Wilson has the right to acquire within 60 days of January 25, 2024 pursuant to the exercise of warrants held by Mr. Wilson, (iii) 68,314 shares of common stock issuable upon exercise of Common Warrants held by Mr. Wilson, and (iv) 45,344 shares of common stock that Mr. Wilson has the right to acquire within 60 days of January 25, 2024 pursuant to the exercise of stock options. The number in the column “Maximum Number of Shares Being Offered” consists of</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68,314 Shares and (ii) 68,314 shares of common stock issuable upon exercise of Common Warrants.</w:t>
      </w:r>
    </w:p>
    <w:p>
      <w:pPr>
        <w:spacing w:after="0" w:line="9"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522,602 Shares and (ii) 522,602 shares of common stock issuable upon exercise of Common Warrants.</w:t>
      </w:r>
    </w:p>
    <w:p>
      <w:pPr>
        <w:spacing w:after="0" w:line="9" w:lineRule="exact"/>
        <w:rPr>
          <w:rFonts w:ascii="Times New Roman" w:cs="Times New Roman" w:eastAsia="Times New Roman" w:hAnsi="Times New Roman"/>
          <w:sz w:val="18"/>
          <w:szCs w:val="18"/>
          <w:color w:val="auto"/>
        </w:rPr>
      </w:pPr>
    </w:p>
    <w:p>
      <w:pPr>
        <w:ind w:left="540" w:right="160" w:hanging="424"/>
        <w:spacing w:after="0" w:line="253"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67,908 shares of common stock issuable upon exercise of a Placement Agent Warrant, (ii) 7,839 shares of common stock issuable upon exercise of a Placement Agent Warrant that will be issued on the second closing of the Private Placement; (iii) 67,908 shares of common stock issuable upon exercise of Common Warrants and (iv) 7,838 shares of common stock issuable upon exercise of Common Warrants that will be issued on the second closing of the Private Placement.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description set forth above under “Prospectus Summary—Private Placement” is incorporated herein by reference.</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Other than (i) A. Rachel Leheny, who is our Chief Executive Officer and a member of our board of directors; (ii) Eric W. Roberts, who is our Chief Business Officer and a member of our board of directors, (iii) Robert N. Wilson, who is the chairman of our board of directors; and (iv) Fred Middleton, who is a member of our board of directors and a director and managing member of entities affiliated with Sanderling Ventures as described above in footnote (9), none of the selling stockholders or any persons having control over such selling stockholders has held any position or office with us or our affiliates within the last three years or has had a material relationship with us or any of our predecessors or affiliates within the past three years, other than as a result of the ownership of our shares or other securities or, in the case of JonesTrading, its service to us as placement agent in the Private Placement as described under “Prospectus Summary—Private Placement”.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Each selling stockholder and any of their pledgees, assignees and successors-in-interest may, from time to time, sell any or all of their respective shares of our common stock covered hereby on Nasdaq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85"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of our common stock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shares of our common stock at a stipulated price per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trades entered into after the date of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 debts and other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selling stockholder may also sell securities under Rule 144 or any other exemption from registration under the Securities Act, if available, rather than under this prospectus.</w:t>
      </w:r>
    </w:p>
    <w:p>
      <w:pPr>
        <w:spacing w:after="0" w:line="162"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Broker-dealers engaged by a selling stockholder may arrange for other brokers-dealers to participate in sales. Broker-dealers may receive commissions or discounts from a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selling stockholder may enter into option or other transactions with broker-dealers or other financial institutions or create one or more derivative securities which require the delivery to such broker-dealer or other financial institution of the shares of our common stock offered by this prospectus, which shares such broker-dealer or other financial institution may resell pursuant to this prospectus (as supplemented or amended to reflect such transaction).</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 selling stockholder and any broker-dealers or agents that are involved in selling the shares of our common stock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shares of common stock.</w:t>
      </w:r>
    </w:p>
    <w:p>
      <w:pPr>
        <w:spacing w:after="0" w:line="183"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We are required to pay certain fees and expenses incurred by us incident to the registration of the shares of our common stock covered hereby. We have agreed to indemnify any selling stockholder against certain losses, claims, damages and liabilities, including liabilities under the Securities Act.</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 without registration and without regard to any volume or manner-of-sale limitations by reason of Rule 144, without the requirement for us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shares of our common stock covered hereby may not simultaneously engage in market making activities with respect to our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our common stock by a selling stockholder or any other person. We will make copies of this prospectus available to a selling stockholder and have informed them of the need to deliver a copy of this prospectus to each purchaser at or prior to the time of the sale (including by compliance with and reliance on Rule 172 under the Securities Act). </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Cooley LLP, San Diego, California, will pass upon the validity of the shares of our common stock offered by this prospectus.</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the consolidated financial statements of CalciMedica, Inc. (formerly Graybug Vision, Inc.) included in our Annual Report on Form 10-K for the year ended December 31, 2022, as amended by Amendment No.1 on Form 10-K/A,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CalciMedica, Inc. at December 31, 2022 and 2021, and for each of the two years in the period ended December 31, 2022, appearing in CalciMedica, Inc.’s Current Report on Form 8-K, dated August 11, 2023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such firm as experts in accounting and auditing.</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40"/>
          </w:cols>
          <w:pgMar w:left="320" w:top="455" w:right="5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website address is http://www.calcimedica.com. Information contained on or accessible through our website is not a part of this prospectus and is not incorporated by reference herein, and the inclusion of our website address in this prospectus is an inactive textual reference only.</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40"/>
          </w:cols>
          <w:pgMar w:left="320" w:top="455" w:right="5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(other than current reports furnished under Item 2.02 or Item 7.01 of Form 8-K and exhibits filed on such form that are related to such items unless such Form 8-K expressly provides to the contrary):</w:t>
      </w:r>
    </w:p>
    <w:p>
      <w:pPr>
        <w:spacing w:after="0" w:line="94"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filed with the SEC on </w:t>
      </w:r>
      <w:hyperlink r:id="rId52">
        <w:r>
          <w:rPr>
            <w:rFonts w:ascii="Times New Roman" w:cs="Times New Roman" w:eastAsia="Times New Roman" w:hAnsi="Times New Roman"/>
            <w:sz w:val="18"/>
            <w:szCs w:val="18"/>
            <w:u w:val="single" w:color="auto"/>
            <w:color w:val="0000EE"/>
          </w:rPr>
          <w:t>March 3, 2023</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2022, filed with the SEC on </w:t>
      </w:r>
      <w:hyperlink r:id="rId53">
        <w:r>
          <w:rPr>
            <w:rFonts w:ascii="Times New Roman" w:cs="Times New Roman" w:eastAsia="Times New Roman" w:hAnsi="Times New Roman"/>
            <w:sz w:val="18"/>
            <w:szCs w:val="18"/>
            <w:u w:val="single" w:color="auto"/>
            <w:color w:val="0000EE"/>
          </w:rPr>
          <w:t>March 9, 2023</w:t>
        </w:r>
      </w:hyperlink>
      <w:r>
        <w:rPr>
          <w:rFonts w:ascii="Times New Roman" w:cs="Times New Roman" w:eastAsia="Times New Roman" w:hAnsi="Times New Roman"/>
          <w:sz w:val="18"/>
          <w:szCs w:val="18"/>
          <w:color w:val="auto"/>
        </w:rPr>
        <w:t xml:space="preserve">, as amended by Amendment No. 1 to our Annual Report on Form 10-K/A for the year ended December 31, 2022, filed with the SEC on </w:t>
      </w:r>
      <w:hyperlink r:id="rId54">
        <w:r>
          <w:rPr>
            <w:rFonts w:ascii="Times New Roman" w:cs="Times New Roman" w:eastAsia="Times New Roman" w:hAnsi="Times New Roman"/>
            <w:sz w:val="18"/>
            <w:szCs w:val="18"/>
            <w:u w:val="single" w:color="auto"/>
            <w:color w:val="0000EE"/>
          </w:rPr>
          <w:t>April 4, 2023</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of Form 10-Q for the quarterly periods ended March 31, 2023, June 30, 2023 and September 30, 2023, filed with the SEC on </w:t>
      </w:r>
      <w:hyperlink r:id="rId55">
        <w:r>
          <w:rPr>
            <w:rFonts w:ascii="Times New Roman" w:cs="Times New Roman" w:eastAsia="Times New Roman" w:hAnsi="Times New Roman"/>
            <w:sz w:val="18"/>
            <w:szCs w:val="18"/>
            <w:u w:val="single" w:color="auto"/>
            <w:color w:val="0000EE"/>
          </w:rPr>
          <w:t>May 12, 2023</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August 11,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7">
        <w:r>
          <w:rPr>
            <w:rFonts w:ascii="Times New Roman" w:cs="Times New Roman" w:eastAsia="Times New Roman" w:hAnsi="Times New Roman"/>
            <w:sz w:val="18"/>
            <w:szCs w:val="18"/>
            <w:u w:val="single" w:color="auto"/>
            <w:color w:val="0000EE"/>
          </w:rPr>
          <w:t>November 9, 2023</w:t>
        </w:r>
      </w:hyperlink>
      <w:r>
        <w:rPr>
          <w:rFonts w:ascii="Times New Roman" w:cs="Times New Roman" w:eastAsia="Times New Roman" w:hAnsi="Times New Roman"/>
          <w:sz w:val="18"/>
          <w:szCs w:val="18"/>
          <w:color w:val="auto"/>
        </w:rPr>
        <w:t>, respectively;</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(other than information furnished rather than filed), which were filed with the SEC on </w:t>
      </w:r>
      <w:hyperlink r:id="rId58">
        <w:r>
          <w:rPr>
            <w:rFonts w:ascii="Times New Roman" w:cs="Times New Roman" w:eastAsia="Times New Roman" w:hAnsi="Times New Roman"/>
            <w:sz w:val="18"/>
            <w:szCs w:val="18"/>
            <w:u w:val="single" w:color="auto"/>
            <w:color w:val="0000EE"/>
          </w:rPr>
          <w:t>February 9, 2023</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EE"/>
          </w:rPr>
          <w:t>February 16,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3,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15,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22,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4,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amended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12,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5,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12,</w:t>
        </w:r>
      </w:hyperlink>
      <w:r>
        <w:rPr>
          <w:rFonts w:ascii="Times New Roman" w:cs="Times New Roman" w:eastAsia="Times New Roman" w:hAnsi="Times New Roman"/>
          <w:sz w:val="18"/>
          <w:szCs w:val="18"/>
          <w:color w:val="0000EE"/>
        </w:rPr>
        <w:t xml:space="preserve"> </w:t>
      </w:r>
      <w:hyperlink r:id="rId59">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0">
        <w:r>
          <w:rPr>
            <w:rFonts w:ascii="Times New Roman" w:cs="Times New Roman" w:eastAsia="Times New Roman" w:hAnsi="Times New Roman"/>
            <w:sz w:val="18"/>
            <w:szCs w:val="18"/>
            <w:u w:val="single" w:color="auto"/>
            <w:color w:val="0000EE"/>
          </w:rPr>
          <w:t>May 15, 2023</w:t>
        </w:r>
      </w:hyperlink>
      <w:hyperlink r:id="rId5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1">
        <w:r>
          <w:rPr>
            <w:rFonts w:ascii="Times New Roman" w:cs="Times New Roman" w:eastAsia="Times New Roman" w:hAnsi="Times New Roman"/>
            <w:sz w:val="18"/>
            <w:szCs w:val="18"/>
            <w:u w:val="single" w:color="auto"/>
            <w:color w:val="0000EE"/>
          </w:rPr>
          <w:t>June 27, 2023</w:t>
        </w:r>
      </w:hyperlink>
      <w:hyperlink r:id="rId5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2">
        <w:r>
          <w:rPr>
            <w:rFonts w:ascii="Times New Roman" w:cs="Times New Roman" w:eastAsia="Times New Roman" w:hAnsi="Times New Roman"/>
            <w:sz w:val="18"/>
            <w:szCs w:val="18"/>
            <w:u w:val="single" w:color="auto"/>
            <w:color w:val="0000EE"/>
          </w:rPr>
          <w:t>August 10, 2023</w:t>
        </w:r>
      </w:hyperlink>
      <w:hyperlink r:id="rId5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3">
        <w:r>
          <w:rPr>
            <w:rFonts w:ascii="Times New Roman" w:cs="Times New Roman" w:eastAsia="Times New Roman" w:hAnsi="Times New Roman"/>
            <w:sz w:val="18"/>
            <w:szCs w:val="18"/>
            <w:u w:val="single" w:color="auto"/>
            <w:color w:val="0000EE"/>
          </w:rPr>
          <w:t>August 11, 2023</w:t>
        </w:r>
      </w:hyperlink>
      <w:hyperlink r:id="rId5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4">
        <w:r>
          <w:rPr>
            <w:rFonts w:ascii="Times New Roman" w:cs="Times New Roman" w:eastAsia="Times New Roman" w:hAnsi="Times New Roman"/>
            <w:sz w:val="18"/>
            <w:szCs w:val="18"/>
            <w:u w:val="single" w:color="auto"/>
            <w:color w:val="0000EE"/>
          </w:rPr>
          <w:t>November 2, 2023</w:t>
        </w:r>
      </w:hyperlink>
      <w:hyperlink r:id="rId59">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65">
        <w:r>
          <w:rPr>
            <w:rFonts w:ascii="Times New Roman" w:cs="Times New Roman" w:eastAsia="Times New Roman" w:hAnsi="Times New Roman"/>
            <w:sz w:val="18"/>
            <w:szCs w:val="18"/>
            <w:u w:val="single" w:color="auto"/>
            <w:color w:val="0000EE"/>
          </w:rPr>
          <w:t xml:space="preserve">January 22, 2024 </w:t>
        </w:r>
      </w:hyperlink>
      <w:hyperlink r:id="rId59">
        <w:r>
          <w:rPr>
            <w:rFonts w:ascii="Times New Roman" w:cs="Times New Roman" w:eastAsia="Times New Roman" w:hAnsi="Times New Roman"/>
            <w:sz w:val="18"/>
            <w:szCs w:val="18"/>
            <w:color w:val="000000"/>
          </w:rPr>
          <w:t>(as amended</w:t>
        </w:r>
      </w:hyperlink>
      <w:r>
        <w:rPr>
          <w:rFonts w:ascii="Times New Roman" w:cs="Times New Roman" w:eastAsia="Times New Roman" w:hAnsi="Times New Roman"/>
          <w:sz w:val="18"/>
          <w:szCs w:val="18"/>
          <w:color w:val="0000EE"/>
        </w:rPr>
        <w:t xml:space="preserve"> </w:t>
      </w:r>
      <w:hyperlink r:id="rId66">
        <w:r>
          <w:rPr>
            <w:rFonts w:ascii="Times New Roman" w:cs="Times New Roman" w:eastAsia="Times New Roman" w:hAnsi="Times New Roman"/>
            <w:sz w:val="18"/>
            <w:szCs w:val="18"/>
            <w:u w:val="single" w:color="auto"/>
            <w:color w:val="0000EE"/>
          </w:rPr>
          <w:t>January 24,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85" w:lineRule="exact"/>
        <w:rPr>
          <w:rFonts w:ascii="Times New Roman" w:cs="Times New Roman" w:eastAsia="Times New Roman" w:hAnsi="Times New Roman"/>
          <w:sz w:val="18"/>
          <w:szCs w:val="18"/>
          <w:color w:val="0000EE"/>
        </w:rPr>
      </w:pPr>
    </w:p>
    <w:p>
      <w:pPr>
        <w:ind w:left="1080" w:right="1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in our registration statement on Form 8-A filed with the SEC on </w:t>
      </w:r>
      <w:hyperlink r:id="rId67">
        <w:r>
          <w:rPr>
            <w:rFonts w:ascii="Times New Roman" w:cs="Times New Roman" w:eastAsia="Times New Roman" w:hAnsi="Times New Roman"/>
            <w:sz w:val="18"/>
            <w:szCs w:val="18"/>
            <w:u w:val="single" w:color="auto"/>
            <w:color w:val="0000EE"/>
          </w:rPr>
          <w:t>September 21, 2020</w:t>
        </w:r>
      </w:hyperlink>
      <w:r>
        <w:rPr>
          <w:rFonts w:ascii="Times New Roman" w:cs="Times New Roman" w:eastAsia="Times New Roman" w:hAnsi="Times New Roman"/>
          <w:sz w:val="18"/>
          <w:szCs w:val="18"/>
          <w:color w:val="auto"/>
        </w:rPr>
        <w:t>, including any amendments or reports filed for the purpose of updating such description.</w:t>
      </w:r>
    </w:p>
    <w:p>
      <w:pPr>
        <w:spacing w:after="0" w:line="162" w:lineRule="exact"/>
        <w:rPr>
          <w:rFonts w:ascii="Times New Roman" w:cs="Times New Roman" w:eastAsia="Times New Roman" w:hAnsi="Times New Roman"/>
          <w:sz w:val="18"/>
          <w:szCs w:val="18"/>
          <w:color w:val="0000EE"/>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0000EE"/>
        </w:rPr>
      </w:pPr>
    </w:p>
    <w:p>
      <w:pPr>
        <w:ind w:left="560"/>
        <w:spacing w:after="0"/>
        <w:rPr>
          <w:sz w:val="20"/>
          <w:szCs w:val="20"/>
          <w:color w:val="auto"/>
        </w:rPr>
      </w:pPr>
      <w:r>
        <w:rPr>
          <w:rFonts w:ascii="Times New Roman" w:cs="Times New Roman" w:eastAsia="Times New Roman" w:hAnsi="Times New Roman"/>
          <w:sz w:val="18"/>
          <w:szCs w:val="18"/>
          <w:color w:val="auto"/>
        </w:rPr>
        <w:t>You can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CalciMedica, Inc.</w:t>
      </w:r>
    </w:p>
    <w:p>
      <w:pPr>
        <w:spacing w:after="0" w:line="27"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505 Coast Boulevard South, Suite 307</w:t>
      </w:r>
    </w:p>
    <w:p>
      <w:pPr>
        <w:spacing w:after="0" w:line="9"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La Jolla, California 92037</w:t>
      </w:r>
    </w:p>
    <w:p>
      <w:pPr>
        <w:spacing w:after="0" w:line="9"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0000EE"/>
        </w:rPr>
      </w:pPr>
    </w:p>
    <w:p>
      <w:pPr>
        <w:ind w:left="5500" w:hanging="438"/>
        <w:spacing w:after="0"/>
        <w:tabs>
          <w:tab w:leader="none" w:pos="5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952-5500</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jc w:val="center"/>
        <w:ind w:left="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an estimate of the fees and expenses, other than the underwriting discounts and commissions, payable by us in connection with the issuance and distribution of the securities being registered. All the amounts shown are estimates, except for the SEC registration fee.</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8,239.89</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Industry Regulatory Authority filing fee</w:t>
            </w:r>
          </w:p>
        </w:tc>
        <w:tc>
          <w:tcPr>
            <w:tcW w:w="12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10,000.00</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50,000.00</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6,760.11</w:t>
            </w: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75,000.00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fee is calculated based on the securities offered and the number of issuances and accordingly cannot be estimated at this time.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empowers a Delaware corporation to indemnify any persons who are, or are threatened to be made, parties to any threatened, pending, or completed legal action, suit, or proceeding, whether civil, criminal, administrative, or investigative (other than an action by or in the right of such corporation), by reason of the fact that such person was an officer or director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officer or director acted in good faith and in a manner he reasonably believed to be in or not opposed to the corporation’s best interests, and, for criminal proceedings, had no reasonable cause to believe his conduct was illegal. A Delaware corporation may indemnify officers and directors in an action by or in the right of the corporation under the same conditions, except that no indemnification is permitted without judicial approval if the officer or director is adjudged to be liable to the corporation in the performance of his duty. Where an officer or director is successful on the merits or otherwise in the defense of any action referred to above, the corporation must indemnify him against the expenses which such officer or director actually and reasonably incurred.</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bylaws provide that we will have the power to indemnify, to the extent permitted by the DGCL, as it presently exists or may hereafter be amended from time to time, any person who was or is a party or is threatened to be made a party to any threatened, pending or completed action, suit or proceeding, whether civil, criminal, administrative or investigative (a “Proceeding”) by reason of the fact that he or she is or was a director, officer, employee or agent of the Corporation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bylaws also provide that the right of directors and officers to indemnification shall be a contract right and shall not be exclusive of any other right now possessed or hereafter acquired under any statute, provision of the certificate of incorporation, bylaw, agreement, vote of stockholders or disinterested directors or otherwise. The bylaws also permit us to secure insurance on behalf of any officer, director, employee, or other agent for any liability arising out of his or her actions in such capacity, regardless of whether the bylaws would permit indemnification of any such liability.</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Section 102(b)(7) of the DGCL provides that directors shall not be personally liable for monetary damages for breaches of their fiduciary duty as directors except for (i) breaches of their duty of loyalty to us or our stockholders, (ii) acts or omissions not in good faith or which involve intentional misconduct or knowing violations of law, (iii) certain transactions under Section 174 of the DGCL (unlawful payment of dividends or unlawful stock purchases or redemptions), or (iv) transactions from which a director derives an improper personal benefit. Our certificate of incorporation includes such a provision. The effect of this provision is to eliminate the personal liability of directors for monetary damages or actions involving a breach of their fiduciary duty of care, including any actions involving gross negligence.</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officers that require us, among other things, to indemnify them against certain liabilities that may arise by reason of their status or service, so long as the indemnitee acted in good faith and in a manner the indemnitee reasonably believed to be in or not opposed to the best interests of us, and, with respect to any criminal action or proceeding, the indemnitee had no reasonable cause to believe his or her conduct was unlawful. We also maintain director and officer liability insurance to insure our directors and officers against the cost of defense, settlement or payment of a judgment under specified circumstances.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448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48"/>
        </w:trPr>
        <w:tc>
          <w:tcPr>
            <w:tcW w:w="10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40" w:type="dxa"/>
            <w:vAlign w:val="bottom"/>
            <w:gridSpan w:val="1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Exhibit Filing Date</w:t>
            </w:r>
          </w:p>
        </w:tc>
        <w:tc>
          <w:tcPr>
            <w:tcW w:w="76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40" w:type="dxa"/>
            <w:vAlign w:val="bottom"/>
            <w:gridSpan w:val="14"/>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6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  4.1</w:t>
            </w:r>
          </w:p>
        </w:tc>
        <w:tc>
          <w:tcPr>
            <w:tcW w:w="460" w:type="dxa"/>
            <w:vAlign w:val="bottom"/>
          </w:tcPr>
          <w:p>
            <w:pPr>
              <w:spacing w:after="0"/>
              <w:rPr>
                <w:sz w:val="14"/>
                <w:szCs w:val="14"/>
                <w:color w:val="auto"/>
              </w:rPr>
            </w:pPr>
          </w:p>
        </w:tc>
        <w:tc>
          <w:tcPr>
            <w:tcW w:w="4260" w:type="dxa"/>
            <w:vAlign w:val="bottom"/>
            <w:tcBorders>
              <w:top w:val="single" w:sz="8" w:color="auto"/>
            </w:tcBorders>
            <w:gridSpan w:val="16"/>
          </w:tcPr>
          <w:p>
            <w:pPr>
              <w:spacing w:after="0" w:line="169"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Amended and Restated Certificate of Incorporation of the</w:t>
              </w:r>
            </w:hyperlink>
          </w:p>
        </w:tc>
        <w:tc>
          <w:tcPr>
            <w:tcW w:w="2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71">
              <w:r>
                <w:rPr>
                  <w:rFonts w:ascii="Times New Roman" w:cs="Times New Roman" w:eastAsia="Times New Roman" w:hAnsi="Times New Roman"/>
                  <w:sz w:val="18"/>
                  <w:szCs w:val="18"/>
                  <w:color w:val="0000EE"/>
                  <w:w w:val="94"/>
                </w:rPr>
                <w:t>Registrant.</w:t>
              </w:r>
            </w:hyperlink>
          </w:p>
        </w:tc>
        <w:tc>
          <w:tcPr>
            <w:tcW w:w="3360" w:type="dxa"/>
            <w:vAlign w:val="bottom"/>
            <w:tcBorders>
              <w:top w:val="single" w:sz="8" w:color="0000EE"/>
            </w:tcBorders>
            <w:gridSpan w:val="11"/>
          </w:tcPr>
          <w:p>
            <w:pPr>
              <w:spacing w:after="0"/>
              <w:rPr>
                <w:sz w:val="17"/>
                <w:szCs w:val="17"/>
                <w:color w:val="auto"/>
              </w:rPr>
            </w:pPr>
          </w:p>
        </w:tc>
        <w:tc>
          <w:tcPr>
            <w:tcW w:w="360" w:type="dxa"/>
            <w:vAlign w:val="bottom"/>
            <w:gridSpan w:val="5"/>
          </w:tcPr>
          <w:p>
            <w:pPr>
              <w:spacing w:after="0"/>
              <w:rPr>
                <w:sz w:val="17"/>
                <w:szCs w:val="17"/>
                <w:color w:val="auto"/>
              </w:rPr>
            </w:pPr>
          </w:p>
        </w:tc>
        <w:tc>
          <w:tcPr>
            <w:tcW w:w="7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001-39538</w:t>
            </w:r>
          </w:p>
        </w:tc>
        <w:tc>
          <w:tcPr>
            <w:tcW w:w="220" w:type="dxa"/>
            <w:vAlign w:val="bottom"/>
          </w:tcPr>
          <w:p>
            <w:pPr>
              <w:spacing w:after="0"/>
              <w:rPr>
                <w:sz w:val="17"/>
                <w:szCs w:val="17"/>
                <w:color w:val="auto"/>
              </w:rPr>
            </w:pPr>
          </w:p>
        </w:tc>
        <w:tc>
          <w:tcPr>
            <w:tcW w:w="196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March 22, 2023</w:t>
            </w: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37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72">
              <w:r>
                <w:rPr>
                  <w:rFonts w:ascii="Times New Roman" w:cs="Times New Roman" w:eastAsia="Times New Roman" w:hAnsi="Times New Roman"/>
                  <w:sz w:val="18"/>
                  <w:szCs w:val="18"/>
                  <w:color w:val="0000EE"/>
                  <w:w w:val="98"/>
                </w:rPr>
                <w:t>Certificate of Amendment, dated March 20, 2023 to</w:t>
              </w:r>
            </w:hyperlink>
          </w:p>
        </w:tc>
        <w:tc>
          <w:tcPr>
            <w:tcW w:w="76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80" w:type="dxa"/>
            <w:vAlign w:val="bottom"/>
            <w:gridSpan w:val="17"/>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Amended and Restated Certificate of Incorporation of the</w:t>
              </w:r>
            </w:hyperlink>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72">
              <w:r>
                <w:rPr>
                  <w:rFonts w:ascii="Times New Roman" w:cs="Times New Roman" w:eastAsia="Times New Roman" w:hAnsi="Times New Roman"/>
                  <w:sz w:val="18"/>
                  <w:szCs w:val="18"/>
                  <w:color w:val="0000EE"/>
                  <w:w w:val="94"/>
                </w:rPr>
                <w:t>Registrant.</w:t>
              </w:r>
            </w:hyperlink>
          </w:p>
        </w:tc>
        <w:tc>
          <w:tcPr>
            <w:tcW w:w="3360" w:type="dxa"/>
            <w:vAlign w:val="bottom"/>
            <w:tcBorders>
              <w:top w:val="single" w:sz="8" w:color="0000EE"/>
            </w:tcBorders>
            <w:gridSpan w:val="11"/>
          </w:tcPr>
          <w:p>
            <w:pPr>
              <w:spacing w:after="0"/>
              <w:rPr>
                <w:sz w:val="17"/>
                <w:szCs w:val="17"/>
                <w:color w:val="auto"/>
              </w:rPr>
            </w:pPr>
          </w:p>
        </w:tc>
        <w:tc>
          <w:tcPr>
            <w:tcW w:w="360" w:type="dxa"/>
            <w:vAlign w:val="bottom"/>
            <w:gridSpan w:val="5"/>
          </w:tcPr>
          <w:p>
            <w:pPr>
              <w:spacing w:after="0"/>
              <w:rPr>
                <w:sz w:val="17"/>
                <w:szCs w:val="17"/>
                <w:color w:val="auto"/>
              </w:rPr>
            </w:pPr>
          </w:p>
        </w:tc>
        <w:tc>
          <w:tcPr>
            <w:tcW w:w="7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001-39538</w:t>
            </w:r>
          </w:p>
        </w:tc>
        <w:tc>
          <w:tcPr>
            <w:tcW w:w="220" w:type="dxa"/>
            <w:vAlign w:val="bottom"/>
          </w:tcPr>
          <w:p>
            <w:pPr>
              <w:spacing w:after="0"/>
              <w:rPr>
                <w:sz w:val="17"/>
                <w:szCs w:val="17"/>
                <w:color w:val="auto"/>
              </w:rPr>
            </w:pPr>
          </w:p>
        </w:tc>
        <w:tc>
          <w:tcPr>
            <w:tcW w:w="196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March 22, 2023</w:t>
            </w: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4480" w:type="dxa"/>
            <w:vAlign w:val="bottom"/>
            <w:gridSpan w:val="17"/>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Restated Bylaws of the Registrant.</w:t>
              </w:r>
            </w:hyperlink>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10-Q</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001-39538</w:t>
            </w:r>
          </w:p>
        </w:tc>
        <w:tc>
          <w:tcPr>
            <w:tcW w:w="220" w:type="dxa"/>
            <w:vAlign w:val="bottom"/>
          </w:tcPr>
          <w:p>
            <w:pPr>
              <w:spacing w:after="0"/>
              <w:rPr>
                <w:sz w:val="24"/>
                <w:szCs w:val="24"/>
                <w:color w:val="auto"/>
              </w:rPr>
            </w:pPr>
          </w:p>
        </w:tc>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November 12, 2020</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gridSpan w:val="2"/>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w:t>
            </w:r>
          </w:p>
        </w:tc>
        <w:tc>
          <w:tcPr>
            <w:tcW w:w="4480" w:type="dxa"/>
            <w:vAlign w:val="bottom"/>
            <w:gridSpan w:val="17"/>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Common Stock Certificate of the Registrant.</w:t>
              </w:r>
            </w:hyperlink>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S-1/A</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333-248611</w:t>
            </w:r>
          </w:p>
        </w:tc>
        <w:tc>
          <w:tcPr>
            <w:tcW w:w="220" w:type="dxa"/>
            <w:vAlign w:val="bottom"/>
          </w:tcPr>
          <w:p>
            <w:pPr>
              <w:spacing w:after="0"/>
              <w:rPr>
                <w:sz w:val="24"/>
                <w:szCs w:val="24"/>
                <w:color w:val="auto"/>
              </w:rPr>
            </w:pPr>
          </w:p>
        </w:tc>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September 21, 2020</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gridSpan w:val="2"/>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4.5</w:t>
            </w:r>
          </w:p>
        </w:tc>
        <w:tc>
          <w:tcPr>
            <w:tcW w:w="41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Registration Rights Agreement, dated November</w:t>
              </w:r>
            </w:hyperlink>
          </w:p>
        </w:tc>
        <w:tc>
          <w:tcPr>
            <w:tcW w:w="30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80" w:type="dxa"/>
            <w:vAlign w:val="bottom"/>
            <w:gridSpan w:val="17"/>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21, 2022, by and among CalciMedica, Inc. and the several</w:t>
              </w:r>
            </w:hyperlink>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1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purchasers signatory thereto.</w:t>
              </w:r>
            </w:hyperlink>
          </w:p>
        </w:tc>
        <w:tc>
          <w:tcPr>
            <w:tcW w:w="320" w:type="dxa"/>
            <w:vAlign w:val="bottom"/>
            <w:gridSpan w:val="4"/>
          </w:tcPr>
          <w:p>
            <w:pPr>
              <w:spacing w:after="0"/>
              <w:rPr>
                <w:sz w:val="17"/>
                <w:szCs w:val="17"/>
                <w:color w:val="auto"/>
              </w:rPr>
            </w:pPr>
          </w:p>
        </w:tc>
        <w:tc>
          <w:tcPr>
            <w:tcW w:w="7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001-39538</w:t>
            </w:r>
          </w:p>
        </w:tc>
        <w:tc>
          <w:tcPr>
            <w:tcW w:w="220" w:type="dxa"/>
            <w:vAlign w:val="bottom"/>
          </w:tcPr>
          <w:p>
            <w:pPr>
              <w:spacing w:after="0"/>
              <w:rPr>
                <w:sz w:val="17"/>
                <w:szCs w:val="17"/>
                <w:color w:val="auto"/>
              </w:rPr>
            </w:pPr>
          </w:p>
        </w:tc>
        <w:tc>
          <w:tcPr>
            <w:tcW w:w="196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March 22, 2023</w:t>
            </w: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gridSpan w:val="2"/>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4.6</w:t>
            </w:r>
          </w:p>
        </w:tc>
        <w:tc>
          <w:tcPr>
            <w:tcW w:w="34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r:id="rId76">
              <w:r>
                <w:rPr>
                  <w:rFonts w:ascii="Times New Roman" w:cs="Times New Roman" w:eastAsia="Times New Roman" w:hAnsi="Times New Roman"/>
                  <w:sz w:val="18"/>
                  <w:szCs w:val="18"/>
                  <w:color w:val="0000EE"/>
                  <w:w w:val="98"/>
                </w:rPr>
                <w:t>Form of Warrant to Purchase Shares of Series D</w:t>
              </w:r>
            </w:hyperlink>
          </w:p>
        </w:tc>
        <w:tc>
          <w:tcPr>
            <w:tcW w:w="1040" w:type="dxa"/>
            <w:vAlign w:val="bottom"/>
            <w:gridSpan w:val="10"/>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76">
              <w:r>
                <w:rPr>
                  <w:rFonts w:ascii="Times New Roman" w:cs="Times New Roman" w:eastAsia="Times New Roman" w:hAnsi="Times New Roman"/>
                  <w:sz w:val="18"/>
                  <w:szCs w:val="18"/>
                  <w:color w:val="0000EE"/>
                  <w:w w:val="98"/>
                </w:rPr>
                <w:t>Convertible Preferred Stock of CalciMedica, Inc.</w:t>
              </w:r>
            </w:hyperlink>
          </w:p>
        </w:tc>
        <w:tc>
          <w:tcPr>
            <w:tcW w:w="960" w:type="dxa"/>
            <w:vAlign w:val="bottom"/>
            <w:gridSpan w:val="8"/>
          </w:tcPr>
          <w:p>
            <w:pPr>
              <w:spacing w:after="0"/>
              <w:rPr>
                <w:sz w:val="17"/>
                <w:szCs w:val="17"/>
                <w:color w:val="auto"/>
              </w:rPr>
            </w:pPr>
          </w:p>
        </w:tc>
        <w:tc>
          <w:tcPr>
            <w:tcW w:w="7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001-39538</w:t>
            </w:r>
          </w:p>
        </w:tc>
        <w:tc>
          <w:tcPr>
            <w:tcW w:w="220" w:type="dxa"/>
            <w:vAlign w:val="bottom"/>
          </w:tcPr>
          <w:p>
            <w:pPr>
              <w:spacing w:after="0"/>
              <w:rPr>
                <w:sz w:val="17"/>
                <w:szCs w:val="17"/>
                <w:color w:val="auto"/>
              </w:rPr>
            </w:pPr>
          </w:p>
        </w:tc>
        <w:tc>
          <w:tcPr>
            <w:tcW w:w="196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March 22, 2023</w:t>
            </w: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w:t>
            </w:r>
          </w:p>
        </w:tc>
        <w:tc>
          <w:tcPr>
            <w:tcW w:w="4480" w:type="dxa"/>
            <w:vAlign w:val="bottom"/>
            <w:gridSpan w:val="17"/>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Warrant to Purchase Common Stock dated as of</w:t>
              </w:r>
            </w:hyperlink>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77">
              <w:r>
                <w:rPr>
                  <w:rFonts w:ascii="Times New Roman" w:cs="Times New Roman" w:eastAsia="Times New Roman" w:hAnsi="Times New Roman"/>
                  <w:sz w:val="18"/>
                  <w:szCs w:val="18"/>
                  <w:color w:val="0000EE"/>
                  <w:w w:val="98"/>
                </w:rPr>
                <w:t>November 9, 2020, issued by CalciMedica, Inc. to SG Dan</w:t>
              </w:r>
            </w:hyperlink>
          </w:p>
        </w:tc>
        <w:tc>
          <w:tcPr>
            <w:tcW w:w="2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77">
              <w:r>
                <w:rPr>
                  <w:rFonts w:ascii="Times New Roman" w:cs="Times New Roman" w:eastAsia="Times New Roman" w:hAnsi="Times New Roman"/>
                  <w:sz w:val="18"/>
                  <w:szCs w:val="18"/>
                  <w:color w:val="0000EE"/>
                  <w:w w:val="97"/>
                </w:rPr>
                <w:t>Equity Holdings, LLC.</w:t>
              </w:r>
            </w:hyperlink>
          </w:p>
        </w:tc>
        <w:tc>
          <w:tcPr>
            <w:tcW w:w="2840" w:type="dxa"/>
            <w:vAlign w:val="bottom"/>
            <w:gridSpan w:val="14"/>
          </w:tcPr>
          <w:p>
            <w:pPr>
              <w:spacing w:after="0"/>
              <w:rPr>
                <w:sz w:val="17"/>
                <w:szCs w:val="17"/>
                <w:color w:val="auto"/>
              </w:rPr>
            </w:pPr>
          </w:p>
        </w:tc>
        <w:tc>
          <w:tcPr>
            <w:tcW w:w="7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001-39538</w:t>
            </w:r>
          </w:p>
        </w:tc>
        <w:tc>
          <w:tcPr>
            <w:tcW w:w="220" w:type="dxa"/>
            <w:vAlign w:val="bottom"/>
          </w:tcPr>
          <w:p>
            <w:pPr>
              <w:spacing w:after="0"/>
              <w:rPr>
                <w:sz w:val="17"/>
                <w:szCs w:val="17"/>
                <w:color w:val="auto"/>
              </w:rPr>
            </w:pPr>
          </w:p>
        </w:tc>
        <w:tc>
          <w:tcPr>
            <w:tcW w:w="196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March 22, 2023</w:t>
            </w: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4.8</w:t>
            </w:r>
          </w:p>
        </w:tc>
        <w:tc>
          <w:tcPr>
            <w:tcW w:w="4480" w:type="dxa"/>
            <w:vAlign w:val="bottom"/>
            <w:gridSpan w:val="17"/>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Warrant to Purchase Common Stock, dated as of</w:t>
              </w:r>
            </w:hyperlink>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80" w:type="dxa"/>
            <w:vAlign w:val="bottom"/>
            <w:gridSpan w:val="17"/>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October 18, 2022, issued by CalciMedica, Inc. to SG Dan</w:t>
              </w:r>
            </w:hyperlink>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Equity Holdings, LLC</w:t>
              </w:r>
              <w:r>
                <w:rPr>
                  <w:rFonts w:ascii="Times New Roman" w:cs="Times New Roman" w:eastAsia="Times New Roman" w:hAnsi="Times New Roman"/>
                  <w:sz w:val="18"/>
                  <w:szCs w:val="18"/>
                  <w:color w:val="000000"/>
                </w:rPr>
                <w:t>.</w:t>
              </w:r>
            </w:hyperlink>
          </w:p>
        </w:tc>
        <w:tc>
          <w:tcPr>
            <w:tcW w:w="360" w:type="dxa"/>
            <w:vAlign w:val="bottom"/>
            <w:gridSpan w:val="5"/>
          </w:tcPr>
          <w:p>
            <w:pPr>
              <w:spacing w:after="0"/>
              <w:rPr>
                <w:sz w:val="17"/>
                <w:szCs w:val="17"/>
                <w:color w:val="auto"/>
              </w:rPr>
            </w:pPr>
          </w:p>
        </w:tc>
        <w:tc>
          <w:tcPr>
            <w:tcW w:w="7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001-39538</w:t>
            </w:r>
          </w:p>
        </w:tc>
        <w:tc>
          <w:tcPr>
            <w:tcW w:w="220" w:type="dxa"/>
            <w:vAlign w:val="bottom"/>
          </w:tcPr>
          <w:p>
            <w:pPr>
              <w:spacing w:after="0"/>
              <w:rPr>
                <w:sz w:val="17"/>
                <w:szCs w:val="17"/>
                <w:color w:val="auto"/>
              </w:rPr>
            </w:pPr>
          </w:p>
        </w:tc>
        <w:tc>
          <w:tcPr>
            <w:tcW w:w="196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March 22, 2023</w:t>
            </w:r>
          </w:p>
        </w:tc>
        <w:tc>
          <w:tcPr>
            <w:tcW w:w="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49"/>
        </w:trPr>
        <w:tc>
          <w:tcPr>
            <w:tcW w:w="6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500" w:type="dxa"/>
            <w:vAlign w:val="bottom"/>
            <w:gridSpan w:val="6"/>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vMerge w:val="restart"/>
          </w:tcPr>
          <w:p>
            <w:pPr>
              <w:spacing w:after="0"/>
              <w:rPr>
                <w:sz w:val="12"/>
                <w:szCs w:val="12"/>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vMerge w:val="restart"/>
          </w:tcPr>
          <w:p>
            <w:pPr>
              <w:spacing w:after="0"/>
              <w:rPr>
                <w:sz w:val="12"/>
                <w:szCs w:val="12"/>
                <w:color w:val="auto"/>
              </w:rPr>
            </w:pPr>
          </w:p>
        </w:tc>
        <w:tc>
          <w:tcPr>
            <w:tcW w:w="10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20" w:type="dxa"/>
            <w:vAlign w:val="bottom"/>
            <w:vMerge w:val="restart"/>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Filing Date</w:t>
            </w:r>
          </w:p>
        </w:tc>
        <w:tc>
          <w:tcPr>
            <w:tcW w:w="220" w:type="dxa"/>
            <w:vAlign w:val="bottom"/>
            <w:vMerge w:val="restart"/>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5"/>
                <w:szCs w:val="15"/>
                <w:color w:val="auto"/>
              </w:rPr>
            </w:pPr>
          </w:p>
        </w:tc>
        <w:tc>
          <w:tcPr>
            <w:tcW w:w="4500" w:type="dxa"/>
            <w:vAlign w:val="bottom"/>
            <w:tcBorders>
              <w:bottom w:val="single" w:sz="8" w:color="auto"/>
            </w:tcBorders>
            <w:gridSpan w:val="6"/>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6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  4.9</w:t>
            </w:r>
          </w:p>
        </w:tc>
        <w:tc>
          <w:tcPr>
            <w:tcW w:w="320" w:type="dxa"/>
            <w:vAlign w:val="bottom"/>
          </w:tcPr>
          <w:p>
            <w:pPr>
              <w:spacing w:after="0"/>
              <w:rPr>
                <w:sz w:val="22"/>
                <w:szCs w:val="22"/>
                <w:color w:val="auto"/>
              </w:rPr>
            </w:pPr>
          </w:p>
        </w:tc>
        <w:tc>
          <w:tcPr>
            <w:tcW w:w="4720" w:type="dxa"/>
            <w:vAlign w:val="bottom"/>
            <w:gridSpan w:val="7"/>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Warrant to Purchase Common Stock, dated as of October 18,</w:t>
              </w:r>
            </w:hyperlink>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2022, issued by CalciMedica, Inc. to Eric Roberts.</w:t>
              </w:r>
            </w:hyperlink>
          </w:p>
        </w:tc>
        <w:tc>
          <w:tcPr>
            <w:tcW w:w="340" w:type="dxa"/>
            <w:vAlign w:val="bottom"/>
            <w:gridSpan w:val="2"/>
          </w:tcPr>
          <w:p>
            <w:pPr>
              <w:spacing w:after="0"/>
              <w:rPr>
                <w:sz w:val="17"/>
                <w:szCs w:val="17"/>
                <w:color w:val="auto"/>
              </w:rPr>
            </w:pPr>
          </w:p>
        </w:tc>
        <w:tc>
          <w:tcPr>
            <w:tcW w:w="64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001-39538</w:t>
            </w:r>
          </w:p>
        </w:tc>
        <w:tc>
          <w:tcPr>
            <w:tcW w:w="220" w:type="dxa"/>
            <w:vAlign w:val="bottom"/>
          </w:tcPr>
          <w:p>
            <w:pPr>
              <w:spacing w:after="0"/>
              <w:rPr>
                <w:sz w:val="17"/>
                <w:szCs w:val="17"/>
                <w:color w:val="auto"/>
              </w:rPr>
            </w:pPr>
          </w:p>
        </w:tc>
        <w:tc>
          <w:tcPr>
            <w:tcW w:w="178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March 22, 2023</w:t>
            </w: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  4.10</w:t>
            </w:r>
          </w:p>
        </w:tc>
        <w:tc>
          <w:tcPr>
            <w:tcW w:w="320" w:type="dxa"/>
            <w:vAlign w:val="bottom"/>
          </w:tcPr>
          <w:p>
            <w:pPr>
              <w:spacing w:after="0"/>
              <w:rPr>
                <w:sz w:val="24"/>
                <w:szCs w:val="24"/>
                <w:color w:val="auto"/>
              </w:rPr>
            </w:pPr>
          </w:p>
        </w:tc>
        <w:tc>
          <w:tcPr>
            <w:tcW w:w="4720" w:type="dxa"/>
            <w:vAlign w:val="bottom"/>
            <w:gridSpan w:val="7"/>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Warrant to Purchase Common Stock, dated as of October 25,</w:t>
              </w:r>
            </w:hyperlink>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2022, issued by CalciMedica, Inc. to Fred Middleton.</w:t>
              </w:r>
            </w:hyperlink>
          </w:p>
        </w:tc>
        <w:tc>
          <w:tcPr>
            <w:tcW w:w="340" w:type="dxa"/>
            <w:vAlign w:val="bottom"/>
            <w:gridSpan w:val="2"/>
          </w:tcPr>
          <w:p>
            <w:pPr>
              <w:spacing w:after="0"/>
              <w:rPr>
                <w:sz w:val="17"/>
                <w:szCs w:val="17"/>
                <w:color w:val="auto"/>
              </w:rPr>
            </w:pPr>
          </w:p>
        </w:tc>
        <w:tc>
          <w:tcPr>
            <w:tcW w:w="64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001-39538</w:t>
            </w:r>
          </w:p>
        </w:tc>
        <w:tc>
          <w:tcPr>
            <w:tcW w:w="220" w:type="dxa"/>
            <w:vAlign w:val="bottom"/>
          </w:tcPr>
          <w:p>
            <w:pPr>
              <w:spacing w:after="0"/>
              <w:rPr>
                <w:sz w:val="17"/>
                <w:szCs w:val="17"/>
                <w:color w:val="auto"/>
              </w:rPr>
            </w:pPr>
          </w:p>
        </w:tc>
        <w:tc>
          <w:tcPr>
            <w:tcW w:w="178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March 22, 2023</w:t>
            </w: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4.6</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  4.11</w:t>
            </w:r>
          </w:p>
        </w:tc>
        <w:tc>
          <w:tcPr>
            <w:tcW w:w="320" w:type="dxa"/>
            <w:vAlign w:val="bottom"/>
          </w:tcPr>
          <w:p>
            <w:pPr>
              <w:spacing w:after="0"/>
              <w:rPr>
                <w:sz w:val="24"/>
                <w:szCs w:val="24"/>
                <w:color w:val="auto"/>
              </w:rPr>
            </w:pPr>
          </w:p>
        </w:tc>
        <w:tc>
          <w:tcPr>
            <w:tcW w:w="4720" w:type="dxa"/>
            <w:vAlign w:val="bottom"/>
            <w:gridSpan w:val="7"/>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of Warrant to Purchase Shares of Series B Convertible</w:t>
              </w:r>
            </w:hyperlink>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4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Preferred Stock of CalciMedica, Inc.</w:t>
              </w:r>
            </w:hyperlink>
          </w:p>
        </w:tc>
        <w:tc>
          <w:tcPr>
            <w:tcW w:w="380" w:type="dxa"/>
            <w:vAlign w:val="bottom"/>
            <w:gridSpan w:val="3"/>
          </w:tcPr>
          <w:p>
            <w:pPr>
              <w:spacing w:after="0"/>
              <w:rPr>
                <w:sz w:val="17"/>
                <w:szCs w:val="17"/>
                <w:color w:val="auto"/>
              </w:rPr>
            </w:pPr>
          </w:p>
        </w:tc>
        <w:tc>
          <w:tcPr>
            <w:tcW w:w="64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5"/>
              </w:rPr>
              <w:t>S-3</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333-271115</w:t>
            </w:r>
          </w:p>
        </w:tc>
        <w:tc>
          <w:tcPr>
            <w:tcW w:w="220" w:type="dxa"/>
            <w:vAlign w:val="bottom"/>
          </w:tcPr>
          <w:p>
            <w:pPr>
              <w:spacing w:after="0"/>
              <w:rPr>
                <w:sz w:val="17"/>
                <w:szCs w:val="17"/>
                <w:color w:val="auto"/>
              </w:rPr>
            </w:pPr>
          </w:p>
        </w:tc>
        <w:tc>
          <w:tcPr>
            <w:tcW w:w="178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April 4, 2023</w:t>
            </w: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4.9</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80" w:right="5740" w:hanging="964"/>
        <w:spacing w:after="0" w:line="261" w:lineRule="auto"/>
        <w:tabs>
          <w:tab w:leader="none" w:pos="212" w:val="left"/>
        </w:tabs>
        <w:numPr>
          <w:ilvl w:val="0"/>
          <w:numId w:val="1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4.12*</w:t>
      </w:r>
      <w:hyperlink r:id="rId83">
        <w:r>
          <w:rPr>
            <w:rFonts w:ascii="Times New Roman" w:cs="Times New Roman" w:eastAsia="Times New Roman" w:hAnsi="Times New Roman"/>
            <w:sz w:val="18"/>
            <w:szCs w:val="18"/>
            <w:u w:val="single" w:color="auto"/>
            <w:color w:val="0000EE"/>
          </w:rPr>
          <w:t>Securities Purchase Agreement, dated January 19, 2024, by</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and among CalciMedica, Inc. and the persons party thereto</w:t>
        </w:r>
      </w:hyperlink>
    </w:p>
    <w:tbl>
      <w:tblPr>
        <w:tblLayout w:type="fixed"/>
        <w:tblInd w:w="120" w:type="dxa"/>
        <w:tblCellMar>
          <w:top w:w="0" w:type="dxa"/>
          <w:left w:w="0" w:type="dxa"/>
          <w:bottom w:w="0" w:type="dxa"/>
          <w:right w:w="0" w:type="dxa"/>
        </w:tblCellMar>
      </w:tblPr>
      <w:tr>
        <w:trPr>
          <w:trHeight w:val="176"/>
        </w:trPr>
        <w:tc>
          <w:tcPr>
            <w:tcW w:w="960" w:type="dxa"/>
            <w:vAlign w:val="bottom"/>
          </w:tcPr>
          <w:p>
            <w:pPr>
              <w:spacing w:after="0"/>
              <w:rPr>
                <w:sz w:val="15"/>
                <w:szCs w:val="15"/>
                <w:color w:val="auto"/>
              </w:rPr>
            </w:pPr>
          </w:p>
        </w:tc>
        <w:tc>
          <w:tcPr>
            <w:tcW w:w="4360" w:type="dxa"/>
            <w:vAlign w:val="bottom"/>
            <w:gridSpan w:val="8"/>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(Corrected)</w:t>
              </w:r>
            </w:hyperlink>
          </w:p>
        </w:tc>
        <w:tc>
          <w:tcPr>
            <w:tcW w:w="94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001-39538</w:t>
            </w:r>
          </w:p>
        </w:tc>
        <w:tc>
          <w:tcPr>
            <w:tcW w:w="176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January 24, 2024</w:t>
            </w:r>
          </w:p>
        </w:tc>
        <w:tc>
          <w:tcPr>
            <w:tcW w:w="58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9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4.13</w:t>
            </w:r>
          </w:p>
        </w:tc>
        <w:tc>
          <w:tcPr>
            <w:tcW w:w="4360" w:type="dxa"/>
            <w:vAlign w:val="bottom"/>
            <w:gridSpan w:val="8"/>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Form of Registration Rights Agreement by and among</w:t>
              </w:r>
            </w:hyperlink>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39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CalciMedica, Inc. and the persons party thereto</w:t>
              </w:r>
            </w:hyperlink>
          </w:p>
        </w:tc>
        <w:tc>
          <w:tcPr>
            <w:tcW w:w="440" w:type="dxa"/>
            <w:vAlign w:val="bottom"/>
          </w:tcPr>
          <w:p>
            <w:pPr>
              <w:spacing w:after="0"/>
              <w:rPr>
                <w:sz w:val="17"/>
                <w:szCs w:val="17"/>
                <w:color w:val="auto"/>
              </w:rPr>
            </w:pPr>
          </w:p>
        </w:tc>
        <w:tc>
          <w:tcPr>
            <w:tcW w:w="94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001-39538</w:t>
            </w:r>
          </w:p>
        </w:tc>
        <w:tc>
          <w:tcPr>
            <w:tcW w:w="176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January 24, 2024</w:t>
            </w:r>
          </w:p>
        </w:tc>
        <w:tc>
          <w:tcPr>
            <w:tcW w:w="58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10.2</w:t>
            </w: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4.14</w:t>
            </w:r>
          </w:p>
        </w:tc>
        <w:tc>
          <w:tcPr>
            <w:tcW w:w="278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8"/>
              </w:rPr>
            </w:pPr>
            <w:hyperlink r:id="rId85">
              <w:r>
                <w:rPr>
                  <w:rFonts w:ascii="Times New Roman" w:cs="Times New Roman" w:eastAsia="Times New Roman" w:hAnsi="Times New Roman"/>
                  <w:sz w:val="18"/>
                  <w:szCs w:val="18"/>
                  <w:color w:val="0000EE"/>
                  <w:w w:val="98"/>
                </w:rPr>
                <w:t>Form of Tranche A Common Warrant.</w:t>
              </w:r>
            </w:hyperlink>
          </w:p>
        </w:tc>
        <w:tc>
          <w:tcPr>
            <w:tcW w:w="620" w:type="dxa"/>
            <w:vAlign w:val="bottom"/>
            <w:tcBorders>
              <w:top w:val="single" w:sz="8" w:color="0000EE"/>
            </w:tcBorders>
          </w:tcPr>
          <w:p>
            <w:pPr>
              <w:spacing w:after="0"/>
              <w:rPr>
                <w:sz w:val="24"/>
                <w:szCs w:val="24"/>
                <w:color w:val="auto"/>
              </w:rPr>
            </w:pPr>
          </w:p>
        </w:tc>
        <w:tc>
          <w:tcPr>
            <w:tcW w:w="960" w:type="dxa"/>
            <w:vAlign w:val="bottom"/>
            <w:gridSpan w:val="2"/>
          </w:tcPr>
          <w:p>
            <w:pPr>
              <w:spacing w:after="0"/>
              <w:rPr>
                <w:sz w:val="24"/>
                <w:szCs w:val="24"/>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001-39538</w:t>
            </w:r>
          </w:p>
        </w:tc>
        <w:tc>
          <w:tcPr>
            <w:tcW w:w="1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January 24, 2024</w:t>
            </w:r>
          </w:p>
        </w:tc>
        <w:tc>
          <w:tcPr>
            <w:tcW w:w="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4.1</w:t>
            </w: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4.15</w:t>
            </w:r>
          </w:p>
        </w:tc>
        <w:tc>
          <w:tcPr>
            <w:tcW w:w="27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Form of Tranche B Common Warrant.</w:t>
              </w:r>
            </w:hyperlink>
          </w:p>
        </w:tc>
        <w:tc>
          <w:tcPr>
            <w:tcW w:w="1600" w:type="dxa"/>
            <w:vAlign w:val="bottom"/>
            <w:gridSpan w:val="4"/>
          </w:tcPr>
          <w:p>
            <w:pPr>
              <w:spacing w:after="0"/>
              <w:rPr>
                <w:sz w:val="24"/>
                <w:szCs w:val="24"/>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001-39538</w:t>
            </w:r>
          </w:p>
        </w:tc>
        <w:tc>
          <w:tcPr>
            <w:tcW w:w="1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January 24, 2024</w:t>
            </w:r>
          </w:p>
        </w:tc>
        <w:tc>
          <w:tcPr>
            <w:tcW w:w="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4.2</w:t>
            </w: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4.16</w:t>
            </w:r>
          </w:p>
        </w:tc>
        <w:tc>
          <w:tcPr>
            <w:tcW w:w="4360" w:type="dxa"/>
            <w:vAlign w:val="bottom"/>
            <w:gridSpan w:val="8"/>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of Pre-Funded Warrant.</w:t>
              </w:r>
            </w:hyperlink>
          </w:p>
        </w:tc>
        <w:tc>
          <w:tcPr>
            <w:tcW w:w="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001-39538</w:t>
            </w:r>
          </w:p>
        </w:tc>
        <w:tc>
          <w:tcPr>
            <w:tcW w:w="1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January 24, 2024</w:t>
            </w:r>
          </w:p>
        </w:tc>
        <w:tc>
          <w:tcPr>
            <w:tcW w:w="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4.3</w:t>
            </w:r>
          </w:p>
        </w:tc>
      </w:tr>
      <w:tr>
        <w:trPr>
          <w:trHeight w:val="20"/>
        </w:trPr>
        <w:tc>
          <w:tcPr>
            <w:tcW w:w="9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4.17</w:t>
            </w:r>
          </w:p>
        </w:tc>
        <w:tc>
          <w:tcPr>
            <w:tcW w:w="4360" w:type="dxa"/>
            <w:vAlign w:val="bottom"/>
            <w:gridSpan w:val="8"/>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Placement Agent Warrant.</w:t>
              </w:r>
            </w:hyperlink>
          </w:p>
        </w:tc>
        <w:tc>
          <w:tcPr>
            <w:tcW w:w="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001-39538</w:t>
            </w:r>
          </w:p>
        </w:tc>
        <w:tc>
          <w:tcPr>
            <w:tcW w:w="1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January 24, 2024</w:t>
            </w:r>
          </w:p>
        </w:tc>
        <w:tc>
          <w:tcPr>
            <w:tcW w:w="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4.4</w:t>
            </w:r>
          </w:p>
        </w:tc>
      </w:tr>
      <w:tr>
        <w:trPr>
          <w:trHeight w:val="20"/>
        </w:trPr>
        <w:tc>
          <w:tcPr>
            <w:tcW w:w="9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17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Opinion of Cooley LLP.</w:t>
            </w:r>
          </w:p>
        </w:tc>
        <w:tc>
          <w:tcPr>
            <w:tcW w:w="2620" w:type="dxa"/>
            <w:vAlign w:val="bottom"/>
            <w:gridSpan w:val="3"/>
          </w:tcPr>
          <w:p>
            <w:pPr>
              <w:spacing w:after="0"/>
              <w:rPr>
                <w:sz w:val="17"/>
                <w:szCs w:val="17"/>
                <w:color w:val="auto"/>
              </w:rPr>
            </w:pPr>
          </w:p>
        </w:tc>
        <w:tc>
          <w:tcPr>
            <w:tcW w:w="5360" w:type="dxa"/>
            <w:vAlign w:val="bottom"/>
          </w:tcPr>
          <w:p>
            <w:pPr>
              <w:ind w:left="5220"/>
              <w:spacing w:after="0"/>
              <w:rPr>
                <w:sz w:val="20"/>
                <w:szCs w:val="20"/>
                <w:color w:val="auto"/>
              </w:rPr>
            </w:pPr>
            <w:r>
              <w:rPr>
                <w:rFonts w:ascii="Times New Roman" w:cs="Times New Roman" w:eastAsia="Times New Roman" w:hAnsi="Times New Roman"/>
                <w:sz w:val="18"/>
                <w:szCs w:val="18"/>
                <w:color w:val="auto"/>
                <w:w w:val="91"/>
              </w:rPr>
              <w:t>X</w:t>
            </w: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3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5360" w:type="dxa"/>
            <w:vAlign w:val="bottom"/>
          </w:tcPr>
          <w:p>
            <w:pPr>
              <w:ind w:left="5220"/>
              <w:spacing w:after="0"/>
              <w:rPr>
                <w:sz w:val="20"/>
                <w:szCs w:val="20"/>
                <w:color w:val="auto"/>
              </w:rPr>
            </w:pPr>
            <w:r>
              <w:rPr>
                <w:rFonts w:ascii="Times New Roman" w:cs="Times New Roman" w:eastAsia="Times New Roman" w:hAnsi="Times New Roman"/>
                <w:sz w:val="18"/>
                <w:szCs w:val="18"/>
                <w:color w:val="auto"/>
                <w:w w:val="91"/>
              </w:rPr>
              <w:t>X</w:t>
            </w: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3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5360" w:type="dxa"/>
            <w:vAlign w:val="bottom"/>
          </w:tcPr>
          <w:p>
            <w:pPr>
              <w:ind w:left="5220"/>
              <w:spacing w:after="0"/>
              <w:rPr>
                <w:sz w:val="20"/>
                <w:szCs w:val="20"/>
                <w:color w:val="auto"/>
              </w:rPr>
            </w:pPr>
            <w:r>
              <w:rPr>
                <w:rFonts w:ascii="Times New Roman" w:cs="Times New Roman" w:eastAsia="Times New Roman" w:hAnsi="Times New Roman"/>
                <w:sz w:val="18"/>
                <w:szCs w:val="18"/>
                <w:color w:val="auto"/>
                <w:w w:val="91"/>
              </w:rPr>
              <w:t>X</w:t>
            </w: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Consent of Cooley LLP (included in Exhibit 5.1).</w:t>
            </w:r>
          </w:p>
        </w:tc>
        <w:tc>
          <w:tcPr>
            <w:tcW w:w="5360" w:type="dxa"/>
            <w:vAlign w:val="bottom"/>
          </w:tcPr>
          <w:p>
            <w:pPr>
              <w:ind w:left="5220"/>
              <w:spacing w:after="0"/>
              <w:rPr>
                <w:sz w:val="20"/>
                <w:szCs w:val="20"/>
                <w:color w:val="auto"/>
              </w:rPr>
            </w:pPr>
            <w:r>
              <w:rPr>
                <w:rFonts w:ascii="Times New Roman" w:cs="Times New Roman" w:eastAsia="Times New Roman" w:hAnsi="Times New Roman"/>
                <w:sz w:val="18"/>
                <w:szCs w:val="18"/>
                <w:color w:val="auto"/>
                <w:w w:val="91"/>
              </w:rPr>
              <w:t>X</w:t>
            </w: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4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w:t>
            </w:r>
          </w:p>
        </w:tc>
        <w:tc>
          <w:tcPr>
            <w:tcW w:w="8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ind w:left="5220"/>
              <w:spacing w:after="0"/>
              <w:rPr>
                <w:sz w:val="20"/>
                <w:szCs w:val="20"/>
                <w:color w:val="auto"/>
              </w:rPr>
            </w:pPr>
            <w:r>
              <w:rPr>
                <w:rFonts w:ascii="Times New Roman" w:cs="Times New Roman" w:eastAsia="Times New Roman" w:hAnsi="Times New Roman"/>
                <w:sz w:val="18"/>
                <w:szCs w:val="18"/>
                <w:color w:val="auto"/>
                <w:w w:val="91"/>
              </w:rPr>
              <w:t>X</w:t>
            </w: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1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3180" w:type="dxa"/>
            <w:vAlign w:val="bottom"/>
            <w:gridSpan w:val="4"/>
          </w:tcPr>
          <w:p>
            <w:pPr>
              <w:spacing w:after="0"/>
              <w:rPr>
                <w:sz w:val="24"/>
                <w:szCs w:val="24"/>
                <w:color w:val="auto"/>
              </w:rPr>
            </w:pPr>
          </w:p>
        </w:tc>
        <w:tc>
          <w:tcPr>
            <w:tcW w:w="5360" w:type="dxa"/>
            <w:vAlign w:val="bottom"/>
          </w:tcPr>
          <w:p>
            <w:pPr>
              <w:ind w:left="5220"/>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252" w:lineRule="exact"/>
        <w:rPr>
          <w:sz w:val="20"/>
          <w:szCs w:val="20"/>
          <w:color w:val="auto"/>
        </w:rPr>
      </w:pPr>
    </w:p>
    <w:p>
      <w:pPr>
        <w:ind w:left="540" w:right="300" w:hanging="424"/>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A copy of any omitted schedule and/or exhibit will be furnished to the SEC upon request.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sz w:val="20"/>
          <w:szCs w:val="20"/>
          <w:color w:val="auto"/>
        </w:rPr>
      </w:pPr>
    </w:p>
    <w:p>
      <w:pPr>
        <w:ind w:left="360" w:hanging="244"/>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780" w:hanging="224"/>
        <w:spacing w:after="0"/>
        <w:tabs>
          <w:tab w:leader="none" w:pos="7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ind w:left="120" w:right="340" w:firstLine="436"/>
        <w:spacing w:after="0" w:line="282" w:lineRule="auto"/>
        <w:tabs>
          <w:tab w:leader="none" w:pos="82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3" w:lineRule="exact"/>
        <w:rPr>
          <w:sz w:val="20"/>
          <w:szCs w:val="20"/>
          <w:color w:val="auto"/>
        </w:rPr>
      </w:pPr>
    </w:p>
    <w:p>
      <w:pPr>
        <w:ind w:left="120" w:right="560" w:firstLine="436"/>
        <w:spacing w:after="0" w:line="282" w:lineRule="auto"/>
        <w:tabs>
          <w:tab w:leader="none" w:pos="8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ind w:left="120" w:right="60" w:hanging="4"/>
        <w:spacing w:after="0" w:line="266" w:lineRule="auto"/>
        <w:tabs>
          <w:tab w:leader="none" w:pos="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120" w:hanging="4"/>
        <w:spacing w:after="0" w:line="282" w:lineRule="auto"/>
        <w:tabs>
          <w:tab w:leader="none" w:pos="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17" w:lineRule="exact"/>
        <w:rPr>
          <w:rFonts w:ascii="Times New Roman" w:cs="Times New Roman" w:eastAsia="Times New Roman" w:hAnsi="Times New Roman"/>
          <w:sz w:val="18"/>
          <w:szCs w:val="18"/>
          <w:color w:val="auto"/>
        </w:rPr>
      </w:pPr>
    </w:p>
    <w:p>
      <w:pPr>
        <w:ind w:left="120" w:firstLine="436"/>
        <w:spacing w:after="0" w:line="282" w:lineRule="auto"/>
        <w:tabs>
          <w:tab w:leader="none" w:pos="77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120" w:firstLine="436"/>
        <w:spacing w:after="0" w:line="253" w:lineRule="auto"/>
        <w:tabs>
          <w:tab w:leader="none" w:pos="82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2" w:lineRule="exact"/>
        <w:rPr>
          <w:sz w:val="20"/>
          <w:szCs w:val="20"/>
          <w:color w:val="auto"/>
        </w:rPr>
      </w:pPr>
    </w:p>
    <w:p>
      <w:pPr>
        <w:ind w:left="120" w:right="120" w:hanging="4"/>
        <w:spacing w:after="0" w:line="258" w:lineRule="auto"/>
        <w:tabs>
          <w:tab w:leader="none" w:pos="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hanging="4"/>
        <w:spacing w:after="0" w:line="254" w:lineRule="auto"/>
        <w:tabs>
          <w:tab w:leader="none" w:pos="3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La Jolla, State of California, on January 31, 2024.</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CALCIMEDICA,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A. Rachel Leheny,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A. Rachel Leheny, Ph.D.</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A. Rachel Leheny, Ph.D. and Daniel Geffken, and each of them, as true and lawful attorneys-in-fact and agents, with full powers of substitution and resubstitution, for them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generally to do all such things in their names and behalf in their capacities as officers and directors to enable CalciMedica,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ratifying and confirming all that said attorneys-in-fact and agents, or any of them, or their or his substitutes or substitute, may lawfully do or cause to be done by virtue hereof.</w:t>
      </w:r>
    </w:p>
    <w:p>
      <w:pPr>
        <w:spacing w:after="0" w:line="188"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96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96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80" w:type="dxa"/>
            <w:vAlign w:val="bottom"/>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5"/>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A. R</w:t>
            </w:r>
            <w:r>
              <w:rPr>
                <w:rFonts w:ascii="Times New Roman" w:cs="Times New Roman" w:eastAsia="Times New Roman" w:hAnsi="Times New Roman"/>
                <w:sz w:val="14"/>
                <w:szCs w:val="14"/>
                <w:color w:val="auto"/>
              </w:rPr>
              <w:t>ACHEL</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EHENY</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H</w:t>
            </w:r>
            <w:r>
              <w:rPr>
                <w:rFonts w:ascii="Times New Roman" w:cs="Times New Roman" w:eastAsia="Times New Roman" w:hAnsi="Times New Roman"/>
                <w:sz w:val="18"/>
                <w:szCs w:val="18"/>
                <w:color w:val="auto"/>
              </w:rPr>
              <w:t>.D.</w:t>
            </w:r>
          </w:p>
        </w:tc>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780" w:type="dxa"/>
            <w:vAlign w:val="bottom"/>
          </w:tcPr>
          <w:p>
            <w:pPr>
              <w:jc w:val="center"/>
              <w:ind w:left="453"/>
              <w:spacing w:after="0"/>
              <w:rPr>
                <w:sz w:val="20"/>
                <w:szCs w:val="20"/>
                <w:color w:val="auto"/>
              </w:rPr>
            </w:pPr>
            <w:r>
              <w:rPr>
                <w:rFonts w:ascii="Times New Roman" w:cs="Times New Roman" w:eastAsia="Times New Roman" w:hAnsi="Times New Roman"/>
                <w:sz w:val="18"/>
                <w:szCs w:val="18"/>
                <w:color w:val="auto"/>
              </w:rPr>
              <w:t>January 31, 2024</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 Rachel Leheny, Ph.D.</w:t>
            </w:r>
          </w:p>
        </w:tc>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17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ANIEL</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EFFKEN</w:t>
            </w:r>
          </w:p>
        </w:tc>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1780" w:type="dxa"/>
            <w:vAlign w:val="bottom"/>
          </w:tcPr>
          <w:p>
            <w:pPr>
              <w:jc w:val="center"/>
              <w:ind w:left="453"/>
              <w:spacing w:after="0"/>
              <w:rPr>
                <w:sz w:val="20"/>
                <w:szCs w:val="20"/>
                <w:color w:val="auto"/>
              </w:rPr>
            </w:pPr>
            <w:r>
              <w:rPr>
                <w:rFonts w:ascii="Times New Roman" w:cs="Times New Roman" w:eastAsia="Times New Roman" w:hAnsi="Times New Roman"/>
                <w:sz w:val="18"/>
                <w:szCs w:val="18"/>
                <w:color w:val="auto"/>
              </w:rPr>
              <w:t>January 31, 2024</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Daniel Geffken</w:t>
            </w:r>
          </w:p>
        </w:tc>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c>
          <w:tcPr>
            <w:tcW w:w="17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18"/>
                <w:szCs w:val="18"/>
                <w:color w:val="auto"/>
              </w:rPr>
              <w:t xml:space="preserve"> N. W</w:t>
            </w:r>
            <w:r>
              <w:rPr>
                <w:rFonts w:ascii="Times New Roman" w:cs="Times New Roman" w:eastAsia="Times New Roman" w:hAnsi="Times New Roman"/>
                <w:sz w:val="14"/>
                <w:szCs w:val="14"/>
                <w:color w:val="auto"/>
              </w:rPr>
              <w:t>ILSON</w:t>
            </w:r>
          </w:p>
        </w:tc>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Chairman</w:t>
            </w:r>
          </w:p>
        </w:tc>
        <w:tc>
          <w:tcPr>
            <w:tcW w:w="1780" w:type="dxa"/>
            <w:vAlign w:val="bottom"/>
          </w:tcPr>
          <w:p>
            <w:pPr>
              <w:jc w:val="center"/>
              <w:ind w:left="453"/>
              <w:spacing w:after="0"/>
              <w:rPr>
                <w:sz w:val="20"/>
                <w:szCs w:val="20"/>
                <w:color w:val="auto"/>
              </w:rPr>
            </w:pPr>
            <w:r>
              <w:rPr>
                <w:rFonts w:ascii="Times New Roman" w:cs="Times New Roman" w:eastAsia="Times New Roman" w:hAnsi="Times New Roman"/>
                <w:sz w:val="18"/>
                <w:szCs w:val="18"/>
                <w:color w:val="auto"/>
              </w:rPr>
              <w:t>January 31, 2024</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Robert N. Wilson</w:t>
            </w:r>
          </w:p>
        </w:tc>
        <w:tc>
          <w:tcPr>
            <w:tcW w:w="39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4"/>
                <w:szCs w:val="14"/>
                <w:color w:val="auto"/>
              </w:rPr>
              <w:t>RIC</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JERKHOLT</w:t>
            </w:r>
          </w:p>
        </w:tc>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ind w:left="453"/>
              <w:spacing w:after="0"/>
              <w:rPr>
                <w:sz w:val="20"/>
                <w:szCs w:val="20"/>
                <w:color w:val="auto"/>
              </w:rPr>
            </w:pPr>
            <w:r>
              <w:rPr>
                <w:rFonts w:ascii="Times New Roman" w:cs="Times New Roman" w:eastAsia="Times New Roman" w:hAnsi="Times New Roman"/>
                <w:sz w:val="18"/>
                <w:szCs w:val="18"/>
                <w:color w:val="auto"/>
              </w:rPr>
              <w:t>January 31, 2024</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Eric Bjerkholt</w:t>
            </w:r>
          </w:p>
        </w:tc>
        <w:tc>
          <w:tcPr>
            <w:tcW w:w="39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w:t>
            </w:r>
            <w:r>
              <w:rPr>
                <w:rFonts w:ascii="Times New Roman" w:cs="Times New Roman" w:eastAsia="Times New Roman" w:hAnsi="Times New Roman"/>
                <w:sz w:val="14"/>
                <w:szCs w:val="14"/>
                <w:color w:val="auto"/>
              </w:rPr>
              <w:t>REDERIC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UERARD</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HARM</w:t>
            </w:r>
            <w:r>
              <w:rPr>
                <w:rFonts w:ascii="Times New Roman" w:cs="Times New Roman" w:eastAsia="Times New Roman" w:hAnsi="Times New Roman"/>
                <w:sz w:val="18"/>
                <w:szCs w:val="18"/>
                <w:color w:val="auto"/>
              </w:rPr>
              <w:t>.D.</w:t>
            </w:r>
          </w:p>
        </w:tc>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ind w:left="453"/>
              <w:spacing w:after="0"/>
              <w:rPr>
                <w:sz w:val="20"/>
                <w:szCs w:val="20"/>
                <w:color w:val="auto"/>
              </w:rPr>
            </w:pPr>
            <w:r>
              <w:rPr>
                <w:rFonts w:ascii="Times New Roman" w:cs="Times New Roman" w:eastAsia="Times New Roman" w:hAnsi="Times New Roman"/>
                <w:sz w:val="18"/>
                <w:szCs w:val="18"/>
                <w:color w:val="auto"/>
              </w:rPr>
              <w:t>January 31, 2024</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Frederic Guerard, Pharm.D.</w:t>
            </w:r>
          </w:p>
        </w:tc>
        <w:tc>
          <w:tcPr>
            <w:tcW w:w="39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60"/>
        </w:trPr>
        <w:tc>
          <w:tcPr>
            <w:tcW w:w="4960" w:type="dxa"/>
            <w:vAlign w:val="bottom"/>
          </w:tcPr>
          <w:p>
            <w:pPr>
              <w:spacing w:after="0"/>
              <w:rPr>
                <w:sz w:val="24"/>
                <w:szCs w:val="24"/>
                <w:color w:val="auto"/>
              </w:rPr>
            </w:pPr>
          </w:p>
        </w:tc>
        <w:tc>
          <w:tcPr>
            <w:tcW w:w="3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II-6</w:t>
            </w:r>
          </w:p>
        </w:tc>
        <w:tc>
          <w:tcPr>
            <w:tcW w:w="178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96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34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400" w:type="dxa"/>
            <w:vAlign w:val="bottom"/>
          </w:tcPr>
          <w:p>
            <w:pPr>
              <w:jc w:val="center"/>
              <w:ind w:left="1076"/>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5"/>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4"/>
                <w:szCs w:val="14"/>
                <w:color w:val="auto"/>
              </w:rPr>
              <w:t>RIC</w:t>
            </w:r>
            <w:r>
              <w:rPr>
                <w:rFonts w:ascii="Times New Roman" w:cs="Times New Roman" w:eastAsia="Times New Roman" w:hAnsi="Times New Roman"/>
                <w:sz w:val="18"/>
                <w:szCs w:val="18"/>
                <w:color w:val="auto"/>
              </w:rPr>
              <w:t xml:space="preserve"> W. R</w:t>
            </w:r>
            <w:r>
              <w:rPr>
                <w:rFonts w:ascii="Times New Roman" w:cs="Times New Roman" w:eastAsia="Times New Roman" w:hAnsi="Times New Roman"/>
                <w:sz w:val="14"/>
                <w:szCs w:val="14"/>
                <w:color w:val="auto"/>
              </w:rPr>
              <w:t>OBERTS</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jc w:val="center"/>
              <w:ind w:left="1076"/>
              <w:spacing w:after="0"/>
              <w:rPr>
                <w:sz w:val="20"/>
                <w:szCs w:val="20"/>
                <w:color w:val="auto"/>
              </w:rPr>
            </w:pPr>
            <w:r>
              <w:rPr>
                <w:rFonts w:ascii="Times New Roman" w:cs="Times New Roman" w:eastAsia="Times New Roman" w:hAnsi="Times New Roman"/>
                <w:sz w:val="18"/>
                <w:szCs w:val="18"/>
                <w:color w:val="auto"/>
              </w:rPr>
              <w:t>January 31, 2024</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Eric W. Roberts</w:t>
            </w:r>
          </w:p>
        </w:tc>
        <w:tc>
          <w:tcPr>
            <w:tcW w:w="33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LLAN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HAW</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jc w:val="center"/>
              <w:ind w:left="1076"/>
              <w:spacing w:after="0"/>
              <w:rPr>
                <w:sz w:val="20"/>
                <w:szCs w:val="20"/>
                <w:color w:val="auto"/>
              </w:rPr>
            </w:pPr>
            <w:r>
              <w:rPr>
                <w:rFonts w:ascii="Times New Roman" w:cs="Times New Roman" w:eastAsia="Times New Roman" w:hAnsi="Times New Roman"/>
                <w:sz w:val="18"/>
                <w:szCs w:val="18"/>
                <w:color w:val="auto"/>
              </w:rPr>
              <w:t>January 31, 2024</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Allan Shaw</w:t>
            </w:r>
          </w:p>
        </w:tc>
        <w:tc>
          <w:tcPr>
            <w:tcW w:w="33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360"/>
        </w:trPr>
        <w:tc>
          <w:tcPr>
            <w:tcW w:w="4960" w:type="dxa"/>
            <w:vAlign w:val="bottom"/>
          </w:tcPr>
          <w:p>
            <w:pPr>
              <w:spacing w:after="0"/>
              <w:rPr>
                <w:sz w:val="24"/>
                <w:szCs w:val="24"/>
                <w:color w:val="auto"/>
              </w:rPr>
            </w:pPr>
          </w:p>
        </w:tc>
        <w:tc>
          <w:tcPr>
            <w:tcW w:w="3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II-7</w:t>
            </w:r>
          </w:p>
        </w:tc>
        <w:tc>
          <w:tcPr>
            <w:tcW w:w="2400" w:type="dxa"/>
            <w:vAlign w:val="bottom"/>
          </w:tcPr>
          <w:p>
            <w:pPr>
              <w:spacing w:after="0"/>
              <w:rPr>
                <w:sz w:val="24"/>
                <w:szCs w:val="24"/>
                <w:color w:val="auto"/>
              </w:rPr>
            </w:pPr>
          </w:p>
        </w:tc>
      </w:tr>
    </w:tbl>
    <w:p>
      <w:pPr>
        <w:sectPr>
          <w:pgSz w:w="11900" w:h="16838" w:orient="portrait"/>
          <w:cols w:equalWidth="0" w:num="1">
            <w:col w:w="10820"/>
          </w:cols>
          <w:pgMar w:left="320" w:top="455" w:right="75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174115" cy="3860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4">
                      <a:extLst>
                        <a:ext uri="{28A0092B-C50C-407E-A947-70E740481C1C}"/>
                      </a:extLst>
                    </a:blip>
                    <a:srcRect/>
                    <a:stretch>
                      <a:fillRect/>
                    </a:stretch>
                  </pic:blipFill>
                  <pic:spPr bwMode="auto">
                    <a:xfrm>
                      <a:off x="0" y="0"/>
                      <a:ext cx="11741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Carlos A. Ramirez</w:t>
      </w:r>
    </w:p>
    <w:p>
      <w:pPr>
        <w:spacing w:after="0" w:line="27" w:lineRule="exact"/>
        <w:rPr>
          <w:sz w:val="20"/>
          <w:szCs w:val="20"/>
          <w:color w:val="auto"/>
        </w:rPr>
      </w:pPr>
    </w:p>
    <w:p>
      <w:pPr>
        <w:ind w:left="204" w:hanging="204"/>
        <w:spacing w:after="0"/>
        <w:tabs>
          <w:tab w:leader="none" w:pos="2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+1 858 550 6157</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cramirez@cooley.com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31,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CalciMedica,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505 Coast Boulevard South, Suite 307</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 Jolla, CA 92037</w:t>
      </w:r>
    </w:p>
    <w:p>
      <w:pPr>
        <w:spacing w:after="0" w:line="23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CalciMedica, Inc. – Registration Statement on Form S-3</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7"/>
          <w:szCs w:val="17"/>
          <w:color w:val="auto"/>
        </w:rPr>
        <w:t>We have acted as counsel to CalciMedica,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in connection with the filing by the Company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of a Registration Statement on Form S-3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with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including the prospectus included in the Registration Statement (the “</w:t>
      </w:r>
      <w:r>
        <w:rPr>
          <w:rFonts w:ascii="Times New Roman" w:cs="Times New Roman" w:eastAsia="Times New Roman" w:hAnsi="Times New Roman"/>
          <w:sz w:val="17"/>
          <w:szCs w:val="17"/>
          <w:b w:val="1"/>
          <w:bCs w:val="1"/>
          <w:i w:val="1"/>
          <w:iCs w:val="1"/>
          <w:color w:val="auto"/>
        </w:rPr>
        <w:t>Prospectus</w:t>
      </w:r>
      <w:r>
        <w:rPr>
          <w:rFonts w:ascii="Times New Roman" w:cs="Times New Roman" w:eastAsia="Times New Roman" w:hAnsi="Times New Roman"/>
          <w:sz w:val="17"/>
          <w:szCs w:val="17"/>
          <w:color w:val="auto"/>
        </w:rPr>
        <w:t>”), covering the registration for resale of up to 10,735,725 shares of the Company’s common stock, par value $0.0001 per share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consisting of:</w:t>
      </w:r>
    </w:p>
    <w:p>
      <w:pPr>
        <w:spacing w:after="0" w:line="53" w:lineRule="exact"/>
        <w:rPr>
          <w:sz w:val="20"/>
          <w:szCs w:val="20"/>
          <w:color w:val="auto"/>
        </w:rPr>
      </w:pPr>
    </w:p>
    <w:p>
      <w:pPr>
        <w:ind w:left="444" w:right="20" w:hanging="4"/>
        <w:spacing w:after="0" w:line="253" w:lineRule="auto"/>
        <w:tabs>
          <w:tab w:leader="none" w:pos="6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10,584,232 shares of Common Stock, consisting of (i) 4,985,610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shares of Common Stock, 4,502,572 of which are outstanding and 483,038 of which are to be issued on the second closing of the Private Placement (as defined below) (the “</w:t>
      </w:r>
      <w:r>
        <w:rPr>
          <w:rFonts w:ascii="Times New Roman" w:cs="Times New Roman" w:eastAsia="Times New Roman" w:hAnsi="Times New Roman"/>
          <w:sz w:val="18"/>
          <w:szCs w:val="18"/>
          <w:b w:val="1"/>
          <w:bCs w:val="1"/>
          <w:i w:val="1"/>
          <w:iCs w:val="1"/>
          <w:color w:val="auto"/>
        </w:rPr>
        <w:t>Second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(ii) up to 306,506 shares of Common Stock (the “</w:t>
      </w:r>
      <w:r>
        <w:rPr>
          <w:rFonts w:ascii="Times New Roman" w:cs="Times New Roman" w:eastAsia="Times New Roman" w:hAnsi="Times New Roman"/>
          <w:sz w:val="18"/>
          <w:szCs w:val="18"/>
          <w:b w:val="1"/>
          <w:bCs w:val="1"/>
          <w:i w:val="1"/>
          <w:iCs w:val="1"/>
          <w:color w:val="auto"/>
        </w:rPr>
        <w:t>Purchaser Pre-Funded Warrant Shares</w:t>
      </w:r>
      <w:r>
        <w:rPr>
          <w:rFonts w:ascii="Times New Roman" w:cs="Times New Roman" w:eastAsia="Times New Roman" w:hAnsi="Times New Roman"/>
          <w:sz w:val="18"/>
          <w:szCs w:val="18"/>
          <w:color w:val="auto"/>
        </w:rPr>
        <w:t>”) issuable upon the exercise of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pre-funded warrants to purchase shares of Common Stock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(iii) up to 2,646,058 shares of Common Stock (the “</w:t>
      </w:r>
      <w:r>
        <w:rPr>
          <w:rFonts w:ascii="Times New Roman" w:cs="Times New Roman" w:eastAsia="Times New Roman" w:hAnsi="Times New Roman"/>
          <w:sz w:val="18"/>
          <w:szCs w:val="18"/>
          <w:b w:val="1"/>
          <w:bCs w:val="1"/>
          <w:i w:val="1"/>
          <w:iCs w:val="1"/>
          <w:color w:val="auto"/>
        </w:rPr>
        <w:t>Purchaser Tranche A Warrant Shares</w:t>
      </w:r>
      <w:r>
        <w:rPr>
          <w:rFonts w:ascii="Times New Roman" w:cs="Times New Roman" w:eastAsia="Times New Roman" w:hAnsi="Times New Roman"/>
          <w:sz w:val="18"/>
          <w:szCs w:val="18"/>
          <w:color w:val="auto"/>
        </w:rPr>
        <w:t>”) issuable upon the exercise of Tranche A common warrants (the “</w:t>
      </w:r>
      <w:r>
        <w:rPr>
          <w:rFonts w:ascii="Times New Roman" w:cs="Times New Roman" w:eastAsia="Times New Roman" w:hAnsi="Times New Roman"/>
          <w:sz w:val="18"/>
          <w:szCs w:val="18"/>
          <w:b w:val="1"/>
          <w:bCs w:val="1"/>
          <w:i w:val="1"/>
          <w:iCs w:val="1"/>
          <w:color w:val="auto"/>
        </w:rPr>
        <w:t>Tranche A Warrants</w:t>
      </w:r>
      <w:r>
        <w:rPr>
          <w:rFonts w:ascii="Times New Roman" w:cs="Times New Roman" w:eastAsia="Times New Roman" w:hAnsi="Times New Roman"/>
          <w:sz w:val="18"/>
          <w:szCs w:val="18"/>
          <w:color w:val="auto"/>
        </w:rPr>
        <w:t>”) to purchase shares of Common Stock (or pre-funded warrants in lieu thereof and, in such case, shares of Common Stock issuable upon exercise of such pre-funded warrants), 2,404,539 of which are outstanding and 241,519 of which are to be issued on the second closing of the Private Placement and (iv) up to 2,646,058 shares of Common Stock (the “</w:t>
      </w:r>
      <w:r>
        <w:rPr>
          <w:rFonts w:ascii="Times New Roman" w:cs="Times New Roman" w:eastAsia="Times New Roman" w:hAnsi="Times New Roman"/>
          <w:sz w:val="18"/>
          <w:szCs w:val="18"/>
          <w:b w:val="1"/>
          <w:bCs w:val="1"/>
          <w:i w:val="1"/>
          <w:iCs w:val="1"/>
          <w:color w:val="auto"/>
        </w:rPr>
        <w:t>Purchaser Tranche B Warrant Shares</w:t>
      </w:r>
      <w:r>
        <w:rPr>
          <w:rFonts w:ascii="Times New Roman" w:cs="Times New Roman" w:eastAsia="Times New Roman" w:hAnsi="Times New Roman"/>
          <w:sz w:val="18"/>
          <w:szCs w:val="18"/>
          <w:color w:val="auto"/>
        </w:rPr>
        <w:t>”) issuable upon the exercise of Tranche B common warrants (the “</w:t>
      </w:r>
      <w:r>
        <w:rPr>
          <w:rFonts w:ascii="Times New Roman" w:cs="Times New Roman" w:eastAsia="Times New Roman" w:hAnsi="Times New Roman"/>
          <w:sz w:val="18"/>
          <w:szCs w:val="18"/>
          <w:b w:val="1"/>
          <w:bCs w:val="1"/>
          <w:i w:val="1"/>
          <w:iCs w:val="1"/>
          <w:color w:val="auto"/>
        </w:rPr>
        <w:t>Tranche B Warrants</w:t>
      </w:r>
      <w:r>
        <w:rPr>
          <w:rFonts w:ascii="Times New Roman" w:cs="Times New Roman" w:eastAsia="Times New Roman" w:hAnsi="Times New Roman"/>
          <w:sz w:val="18"/>
          <w:szCs w:val="18"/>
          <w:color w:val="auto"/>
        </w:rPr>
        <w:t>” and, together with the Tranche A Warrants, the “</w:t>
      </w:r>
      <w:r>
        <w:rPr>
          <w:rFonts w:ascii="Times New Roman" w:cs="Times New Roman" w:eastAsia="Times New Roman" w:hAnsi="Times New Roman"/>
          <w:sz w:val="18"/>
          <w:szCs w:val="18"/>
          <w:b w:val="1"/>
          <w:bCs w:val="1"/>
          <w:i w:val="1"/>
          <w:iCs w:val="1"/>
          <w:color w:val="auto"/>
        </w:rPr>
        <w:t>Common Warrants</w:t>
      </w:r>
      <w:r>
        <w:rPr>
          <w:rFonts w:ascii="Times New Roman" w:cs="Times New Roman" w:eastAsia="Times New Roman" w:hAnsi="Times New Roman"/>
          <w:sz w:val="18"/>
          <w:szCs w:val="18"/>
          <w:color w:val="auto"/>
        </w:rPr>
        <w:t>”) to purchase shares of Common Stock (or pre-funded warrants in lieu thereof and, in such case, shares of Common Stock issuable upon exercise of such pre-funded warrants), 2,404,539 of which are outstanding and 241,519 of which are to be issued on the second closing of the Private Placement, all of which shares and warrants specified in clauses (i), (ii), (iii) and (iv) of this paragraph (a) were issued or are to be issued pursuant to that certain Securities Purchase Agreement, dated as of January 19, 2024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by and among the Company and the investors identified therein (such transaction, the “</w:t>
      </w:r>
      <w:r>
        <w:rPr>
          <w:rFonts w:ascii="Times New Roman" w:cs="Times New Roman" w:eastAsia="Times New Roman" w:hAnsi="Times New Roman"/>
          <w:sz w:val="18"/>
          <w:szCs w:val="18"/>
          <w:b w:val="1"/>
          <w:bCs w:val="1"/>
          <w:i w:val="1"/>
          <w:iCs w:val="1"/>
          <w:color w:val="auto"/>
        </w:rPr>
        <w:t>Private Placement</w:t>
      </w:r>
      <w:r>
        <w:rPr>
          <w:rFonts w:ascii="Times New Roman" w:cs="Times New Roman" w:eastAsia="Times New Roman" w:hAnsi="Times New Roman"/>
          <w:sz w:val="18"/>
          <w:szCs w:val="18"/>
          <w:color w:val="auto"/>
        </w:rPr>
        <w:t>”); and</w:t>
      </w:r>
    </w:p>
    <w:p>
      <w:pPr>
        <w:spacing w:after="0" w:line="77" w:lineRule="exact"/>
        <w:rPr>
          <w:rFonts w:ascii="Times New Roman" w:cs="Times New Roman" w:eastAsia="Times New Roman" w:hAnsi="Times New Roman"/>
          <w:sz w:val="18"/>
          <w:szCs w:val="18"/>
          <w:color w:val="auto"/>
        </w:rPr>
      </w:pPr>
    </w:p>
    <w:p>
      <w:pPr>
        <w:ind w:left="444" w:right="160" w:hanging="4"/>
        <w:spacing w:after="0" w:line="257" w:lineRule="auto"/>
        <w:tabs>
          <w:tab w:leader="none" w:pos="69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151,493 shares of Common Stock, consisting of (i) up to 75,747 shares of Common Stock (the “</w:t>
      </w:r>
      <w:r>
        <w:rPr>
          <w:rFonts w:ascii="Times New Roman" w:cs="Times New Roman" w:eastAsia="Times New Roman" w:hAnsi="Times New Roman"/>
          <w:sz w:val="18"/>
          <w:szCs w:val="18"/>
          <w:b w:val="1"/>
          <w:bCs w:val="1"/>
          <w:i w:val="1"/>
          <w:iCs w:val="1"/>
          <w:color w:val="auto"/>
        </w:rPr>
        <w:t>Agent Warrant Shares</w:t>
      </w:r>
      <w:r>
        <w:rPr>
          <w:rFonts w:ascii="Times New Roman" w:cs="Times New Roman" w:eastAsia="Times New Roman" w:hAnsi="Times New Roman"/>
          <w:sz w:val="18"/>
          <w:szCs w:val="18"/>
          <w:color w:val="auto"/>
        </w:rPr>
        <w:t>”) issuable upon exercise of placement agent warrants (together with the Common Warrants and the Pre-Funded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to purchase shares of Common Stock, 67,908 of which are outstanding and 7,839 of which are to be issued on the second closing of the Private Placement; (ii) up to 37,873 shares of Common Stock (together with the Purchaser Tranche A Warrant Shares, the “</w:t>
      </w:r>
      <w:r>
        <w:rPr>
          <w:rFonts w:ascii="Times New Roman" w:cs="Times New Roman" w:eastAsia="Times New Roman" w:hAnsi="Times New Roman"/>
          <w:sz w:val="18"/>
          <w:szCs w:val="18"/>
          <w:b w:val="1"/>
          <w:bCs w:val="1"/>
          <w:i w:val="1"/>
          <w:iCs w:val="1"/>
          <w:color w:val="auto"/>
        </w:rPr>
        <w:t>Tranche A Warrant Shares</w:t>
      </w:r>
      <w:r>
        <w:rPr>
          <w:rFonts w:ascii="Times New Roman" w:cs="Times New Roman" w:eastAsia="Times New Roman" w:hAnsi="Times New Roman"/>
          <w:sz w:val="18"/>
          <w:szCs w:val="18"/>
          <w:color w:val="auto"/>
        </w:rPr>
        <w:t>”) issuable upon exercise of Tranche A Warrants (or if such Tranche A Warrants are exercised for pre-funded warrants in lieu of shares of Common Stock, shares of Common Stock issuable upon exercise of such pre-funded</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Cooley LLP 10265 Science Center Drive San Diego, CA 92121-1117</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 +1 858 550 6000 f: +1 858 550-6420 cooley.com</w:t>
      </w:r>
    </w:p>
    <w:p>
      <w:pPr>
        <w:sectPr>
          <w:pgSz w:w="11900" w:h="16838" w:orient="portrait"/>
          <w:cols w:equalWidth="0" w:num="1">
            <w:col w:w="11024"/>
          </w:cols>
          <w:pgMar w:left="436" w:top="117"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74115" cy="3860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January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warrants), 33,954 of which warrants are outstanding and 3,919 of which are to be issued on the second closing of the Private Placement; and</w:t>
      </w:r>
    </w:p>
    <w:p>
      <w:pPr>
        <w:spacing w:after="0" w:line="27" w:lineRule="exact"/>
        <w:rPr>
          <w:sz w:val="20"/>
          <w:szCs w:val="20"/>
          <w:color w:val="auto"/>
        </w:rPr>
      </w:pPr>
    </w:p>
    <w:p>
      <w:pPr>
        <w:ind w:left="440" w:right="40" w:hanging="4"/>
        <w:spacing w:after="0" w:line="252" w:lineRule="auto"/>
        <w:tabs>
          <w:tab w:leader="none" w:pos="7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37,873 shares of Common Stock (together with the Purchaser Pre-Funded Warrant Shares, the Agent Warrant Shares, the Tranche A Warrant Shares and the Purchaser Tranche B Warrant Shares,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issuable upon exercise of Tranche B Warrants (or if such Tranche B Warrants are exercised for pre-funded warrants in lieu of shares of Common Stock, shares of Common Stock issuable upon exercise of such pre-funded warrants), 33,954 of which warrants are outstanding and 3,919 of which are to be issued on the second closing of the Private Placement, all of which warrants specified in clauses (i), (ii) and (iii) of this paragraph (b) were or are to be issued to the placement agent of the Private Placement as compensation for its services pursuant to that certain Engagement Letter, dated as of December 8, 2023 (the “</w:t>
      </w:r>
      <w:r>
        <w:rPr>
          <w:rFonts w:ascii="Times New Roman" w:cs="Times New Roman" w:eastAsia="Times New Roman" w:hAnsi="Times New Roman"/>
          <w:sz w:val="18"/>
          <w:szCs w:val="18"/>
          <w:b w:val="1"/>
          <w:bCs w:val="1"/>
          <w:i w:val="1"/>
          <w:iCs w:val="1"/>
          <w:color w:val="auto"/>
        </w:rPr>
        <w:t>Engagement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Letter</w:t>
      </w:r>
      <w:r>
        <w:rPr>
          <w:rFonts w:ascii="Times New Roman" w:cs="Times New Roman" w:eastAsia="Times New Roman" w:hAnsi="Times New Roman"/>
          <w:sz w:val="18"/>
          <w:szCs w:val="18"/>
          <w:color w:val="auto"/>
        </w:rPr>
        <w:t>”), by and among the Company and JonesTrading Institutional Services LLC.</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Registration Statement, the Prospectus, the Warrants, the Purchase Agreement, the Engagement Letter, the Company’s certificate of incorporation and bylaws, each as currently in effect,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opinion is expressed solely with respect to the General Corporation Law of the State of Delaware. We express no opinion to the extent that any other laws are applicable to the subject matter hereof and express no opinion and provide no assurance as to compliance with any federal or state antifraud law, rule or regulation relating to securities or to the sale or issuance thereof.</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With respect to the Warrant Shares, we express no opinion to the extent that future issuances of securities of the Company, adjustments to outstanding securities of the Company or other matters cause the Warrants to be exercisable for more shares of Common Stock than the number available for issuance by the Company. Further, we have assumed the exercise price of the Warrants will not be adjusted to an amount below the par value per share of the Common Stock.</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(i) the Shares (other than the Second Closing Shares) are validly issued, fully paid and nonassessable, (ii) the Second Closing Shares, when sold and issued in accordance with the Purchase Agreement, will be validly issued, fully paid and nonassessable and (iii) the Warrant Shares, when sold and issued in accordance with the terms of the Warrants, will be validly issued, fully paid and nonassessable.</w:t>
      </w:r>
    </w:p>
    <w:p>
      <w:pPr>
        <w:spacing w:after="0" w:line="18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Our opinion is limited to the matters expressly set forth in this letter, and no opinion should be implied, or may be inferred, beyond the matters expressly stated. This opinion speaks only as to law and facts in effect or existing as of the date hereof, and we undertake no obligation or responsibility to update or supplement this letter to reflect any facts or circumstances that may hereafter come to our attention or any changes in law that may hereafter occur.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Cooley LLP 10265 Science Center Drive San Diego, CA 92121-1117</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 +1 858 550 6000 f: +1 858 550-6420 cooley.com</w:t>
      </w:r>
    </w:p>
    <w:p>
      <w:pPr>
        <w:sectPr>
          <w:pgSz w:w="11900" w:h="16838" w:orient="portrait"/>
          <w:cols w:equalWidth="0" w:num="1">
            <w:col w:w="10980"/>
          </w:cols>
          <w:pgMar w:left="440" w:top="1093"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74115" cy="3860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January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Three</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reference to our firm under the caption “Legal Matters” in the Prospectus and to the filing of this opinion as an exhibit to the Registration Statement. In giving such consent, we do not thereby admit that we are in the category of persons whose consent is required under Section 7 of the Securities Act or the rules and regulations of the Commission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OOLEY</w:t>
      </w:r>
      <w:r>
        <w:rPr>
          <w:rFonts w:ascii="Times New Roman" w:cs="Times New Roman" w:eastAsia="Times New Roman" w:hAnsi="Times New Roman"/>
          <w:sz w:val="18"/>
          <w:szCs w:val="18"/>
          <w:color w:val="auto"/>
        </w:rPr>
        <w:t xml:space="preserv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Carlos A. Ramirez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Carlos A. Ramirez</w:t>
      </w:r>
    </w:p>
    <w:p>
      <w:pPr>
        <w:spacing w:after="0" w:line="15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Cooley LLP 10265 Science Center Drive San Diego, CA 92121-1117</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 +1 858 550 6000 f: +1 858 550-6420 cooley.com</w:t>
      </w:r>
    </w:p>
    <w:p>
      <w:pPr>
        <w:sectPr>
          <w:pgSz w:w="11900" w:h="16838" w:orient="portrait"/>
          <w:cols w:equalWidth="0" w:num="1">
            <w:col w:w="10820"/>
          </w:cols>
          <w:pgMar w:left="440" w:top="1093" w:right="6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S-3) and related Prospectus of CalciMedica, Inc. (formerly Graybug Vision, Inc.) for the registration of up to 10,735,725 shares of its common stock and to the incorporation by reference therein of our report dated March 8, 2023, with respect to the consolidated financial statements of CalciMedica, Inc. (formerly Graybug Vision, Inc.) included in its Annual Report (Form 10-K) for the year ended December 31, 2022, as amended on April 4, 2023 by Amendment No.1 on Form 10-K/A,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2024</w:t>
      </w:r>
    </w:p>
    <w:p>
      <w:pPr>
        <w:sectPr>
          <w:pgSz w:w="11900" w:h="16838" w:orient="portrait"/>
          <w:cols w:equalWidth="0" w:num="1">
            <w:col w:w="11020"/>
          </w:cols>
          <w:pgMar w:left="440" w:top="117" w:right="4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S-3) and related Prospectus of CalciMedica, Inc. for the registration of up to 10,735,725 shares of its common stock and to the incorporation by reference therein of our report dated April 4, 2023 (except for Note 2, as to which the date is May 12, 2023, and the effects of the exchange ratio described in Note 3, as to which the date is August 11, 2023), with respect to the financial statements of CalciMedica, Inc. included in its Current Report (Form 8-K) dated August 11, 2023,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2024</w:t>
      </w:r>
    </w:p>
    <w:p>
      <w:pPr>
        <w:sectPr>
          <w:pgSz w:w="11900" w:h="16838" w:orient="portrait"/>
          <w:cols w:equalWidth="0" w:num="1">
            <w:col w:w="11020"/>
          </w:cols>
          <w:pgMar w:left="440" w:top="117" w:right="4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S-3</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CalciMedica,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894" w:type="dxa"/>
        <w:tblCellMar>
          <w:top w:w="0" w:type="dxa"/>
          <w:left w:w="0" w:type="dxa"/>
          <w:bottom w:w="0" w:type="dxa"/>
          <w:right w:w="0" w:type="dxa"/>
        </w:tblCellMar>
      </w:tblPr>
      <w:tr>
        <w:trPr>
          <w:trHeight w:val="144"/>
        </w:trPr>
        <w:tc>
          <w:tcPr>
            <w:tcW w:w="1400" w:type="dxa"/>
            <w:vAlign w:val="bottom"/>
            <w:tcBorders>
              <w:top w:val="single" w:sz="8" w:color="auto"/>
              <w:left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136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rPr>
              <w:t>Fee</w:t>
            </w:r>
          </w:p>
        </w:tc>
        <w:tc>
          <w:tcPr>
            <w:tcW w:w="114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28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1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12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or Carry</w:t>
            </w:r>
          </w:p>
        </w:tc>
        <w:tc>
          <w:tcPr>
            <w:tcW w:w="11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2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3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1140" w:type="dxa"/>
            <w:vAlign w:val="bottom"/>
            <w:tcBorders>
              <w:right w:val="single" w:sz="8" w:color="auto"/>
            </w:tcBorders>
          </w:tcPr>
          <w:p>
            <w:pPr>
              <w:ind w:left="380"/>
              <w:spacing w:after="0" w:line="135" w:lineRule="exact"/>
              <w:rPr>
                <w:sz w:val="20"/>
                <w:szCs w:val="20"/>
                <w:color w:val="auto"/>
              </w:rPr>
            </w:pPr>
            <w:r>
              <w:rPr>
                <w:rFonts w:ascii="Times New Roman" w:cs="Times New Roman" w:eastAsia="Times New Roman" w:hAnsi="Times New Roman"/>
                <w:sz w:val="13"/>
                <w:szCs w:val="13"/>
                <w:color w:val="auto"/>
              </w:rPr>
              <w:t>Amount</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2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r>
      <w:tr>
        <w:trPr>
          <w:trHeight w:val="174"/>
        </w:trPr>
        <w:tc>
          <w:tcPr>
            <w:tcW w:w="1400" w:type="dxa"/>
            <w:vAlign w:val="bottom"/>
            <w:tcBorders>
              <w:left w:val="single" w:sz="8" w:color="auto"/>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Class Title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Registered(1)</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Registration Fee</w:t>
            </w:r>
          </w:p>
        </w:tc>
      </w:tr>
      <w:tr>
        <w:trPr>
          <w:trHeight w:val="211"/>
        </w:trPr>
        <w:tc>
          <w:tcPr>
            <w:tcW w:w="14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Fees to Be Paid</w:t>
            </w:r>
          </w:p>
        </w:tc>
        <w:tc>
          <w:tcPr>
            <w:tcW w:w="6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6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 value $0.0001</w:t>
            </w:r>
          </w:p>
        </w:tc>
        <w:tc>
          <w:tcPr>
            <w:tcW w:w="6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55"/>
        </w:trPr>
        <w:tc>
          <w:tcPr>
            <w:tcW w:w="1400" w:type="dxa"/>
            <w:vAlign w:val="bottom"/>
            <w:tcBorders>
              <w:left w:val="single" w:sz="8" w:color="auto"/>
              <w:bottom w:val="single" w:sz="8" w:color="auto"/>
              <w:right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Equity </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10,735,725(2)</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$5.20(3)</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$55,825,770.00 </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$0.00014760 </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$8,239.89</w:t>
            </w:r>
          </w:p>
        </w:tc>
      </w:tr>
      <w:tr>
        <w:trPr>
          <w:trHeight w:val="239"/>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160" w:type="dxa"/>
            <w:vAlign w:val="bottom"/>
            <w:tcBorders>
              <w:bottom w:val="single" w:sz="8" w:color="auto"/>
              <w:right w:val="single" w:sz="8" w:color="auto"/>
            </w:tcBorders>
            <w:gridSpan w:val="3"/>
          </w:tcPr>
          <w:p>
            <w:pPr>
              <w:jc w:val="center"/>
              <w:ind w:right="508"/>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72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$55,825,770.00 </w:t>
            </w:r>
          </w:p>
        </w:tc>
        <w:tc>
          <w:tcPr>
            <w:tcW w:w="11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$8,239.89</w:t>
            </w:r>
          </w:p>
        </w:tc>
      </w:tr>
      <w:tr>
        <w:trPr>
          <w:trHeight w:val="236"/>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left="477"/>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11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left="477"/>
              <w:spacing w:after="0"/>
              <w:rPr>
                <w:sz w:val="20"/>
                <w:szCs w:val="20"/>
                <w:color w:val="auto"/>
              </w:rPr>
            </w:pPr>
            <w:r>
              <w:rPr>
                <w:rFonts w:ascii="Times New Roman" w:cs="Times New Roman" w:eastAsia="Times New Roman" w:hAnsi="Times New Roman"/>
                <w:sz w:val="18"/>
                <w:szCs w:val="18"/>
                <w:color w:val="auto"/>
                <w:w w:val="98"/>
              </w:rPr>
              <w:t>Net Fee Due</w:t>
            </w:r>
          </w:p>
        </w:tc>
        <w:tc>
          <w:tcPr>
            <w:tcW w:w="11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$8,239.89</w:t>
            </w:r>
          </w:p>
        </w:tc>
      </w:tr>
    </w:tbl>
    <w:p>
      <w:pPr>
        <w:spacing w:after="0" w:line="225" w:lineRule="exact"/>
        <w:rPr>
          <w:sz w:val="20"/>
          <w:szCs w:val="20"/>
          <w:color w:val="auto"/>
        </w:rPr>
      </w:pPr>
    </w:p>
    <w:p>
      <w:pPr>
        <w:ind w:left="424" w:right="60" w:hanging="424"/>
        <w:spacing w:after="0" w:line="255"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will be offered for resale by the selling stockholders pursuant to the prospectus contained herein. Pursuant to Rule 416 under the Securities Act of 1933, as amended (the “Securities Act”), this registration statement also covers any additional number of shares of common stock issuable upon stock splits, stock dividends, or other distribution, recapitalization or similar events with respect to the shares of common stock being registered pursuant to this registration statement.</w:t>
      </w:r>
    </w:p>
    <w:p>
      <w:pPr>
        <w:spacing w:after="0" w:line="2" w:lineRule="exact"/>
        <w:rPr>
          <w:rFonts w:ascii="Times New Roman" w:cs="Times New Roman" w:eastAsia="Times New Roman" w:hAnsi="Times New Roman"/>
          <w:sz w:val="18"/>
          <w:szCs w:val="18"/>
          <w:color w:val="auto"/>
        </w:rPr>
      </w:pPr>
    </w:p>
    <w:p>
      <w:pPr>
        <w:ind w:left="424" w:right="80" w:hanging="424"/>
        <w:spacing w:after="0" w:line="250"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registers the resale of (a) (i) 4,985,610 shares of common stock of the Registrant, (ii) 306,506 shares of common stock of the Registrant issuable upon the exercise of Pre-Funded Warrants to purchase shares of common stock, (iii) 2,646,058 shares of common stock of the Registrant issuable upon the exercise of Tranche A Common Warrants to purchase shares of common stock and (iv) 2,646,058 shares of common stock of the Registrant issuable upon the exercise of Tranche B Common Warrants to purchase shares of common stock, and (b) (i) 75,747 shares of common stock of the Registrant issuable upon exercise of Placement Agent Warrants to purchase shares of common stock, (ii) 37,873 shares of common stock of the Registrant issuable upon the exercise of Tranche A Common Warrants to purchase shares of common stock and (iii) 37,873 shares of common stock of the Registrant issuable upon the exercise of Tranche B Common Warrants to purchase shares of common stock.</w:t>
      </w:r>
    </w:p>
    <w:p>
      <w:pPr>
        <w:spacing w:after="0" w:line="3" w:lineRule="exact"/>
        <w:rPr>
          <w:rFonts w:ascii="Times New Roman" w:cs="Times New Roman" w:eastAsia="Times New Roman" w:hAnsi="Times New Roman"/>
          <w:sz w:val="18"/>
          <w:szCs w:val="18"/>
          <w:color w:val="auto"/>
        </w:rPr>
      </w:pPr>
    </w:p>
    <w:p>
      <w:pPr>
        <w:ind w:left="424" w:right="180" w:hanging="424"/>
        <w:spacing w:after="0" w:line="260"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purposes of calculating the registration fee pursuant to Rule 457(c) under the Securities Act, based on the average of the high and low price per share of the Registrant’s common stock as reported by the Nasdaq Capital Market on January 25, 2024.</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lowerRoman"/>
      <w:start w:val="4"/>
    </w:lvl>
  </w:abstractNum>
  <w:abstractNum w:abstractNumId="1">
    <w:nsid w:val="66EF438D"/>
    <w:multiLevelType w:val="hybridMultilevel"/>
    <w:lvl w:ilvl="0">
      <w:lvlJc w:val="left"/>
      <w:lvlText w:val="(%1)"/>
      <w:numFmt w:val="lowerRoman"/>
      <w:start w:val="3"/>
    </w:lvl>
  </w:abstractNum>
  <w:abstractNum w:abstractNumId="2">
    <w:nsid w:val="140E0F76"/>
    <w:multiLevelType w:val="hybridMultilevel"/>
    <w:lvl w:ilvl="0">
      <w:lvlJc w:val="left"/>
      <w:lvlText w:val="(%1)"/>
      <w:numFmt w:val="lowerRoman"/>
      <w:start w:val="2"/>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1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858"/>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lowerLetter"/>
      <w:start w:val="1"/>
    </w:lvl>
    <w:lvl w:ilvl="1">
      <w:lvlJc w:val="left"/>
      <w:lvlText w:val="(%2)"/>
      <w:numFmt w:val="lowerRoman"/>
      <w:start w:val="1"/>
    </w:lvl>
  </w:abstractNum>
  <w:abstractNum w:abstractNumId="14">
    <w:nsid w:val="3F2DBA31"/>
    <w:multiLevelType w:val="hybridMultilevel"/>
    <w:lvl w:ilvl="0">
      <w:lvlJc w:val="left"/>
      <w:lvlText w:val="(%1)"/>
      <w:numFmt w:val="lowerRoman"/>
      <w:start w:val="3"/>
    </w:lvl>
  </w:abstractNum>
  <w:abstractNum w:abstractNumId="15">
    <w:nsid w:val="7C83E458"/>
    <w:multiLevelType w:val="hybridMultilevel"/>
    <w:lvl w:ilvl="0">
      <w:lvlJc w:val="left"/>
      <w:lvlText w:val="(%1)"/>
      <w:numFmt w:val="decimal"/>
      <w:start w:val="2"/>
    </w:lvl>
    <w:lvl w:ilvl="1">
      <w:lvlJc w:val="left"/>
      <w:lvlText w:val="(%2)"/>
      <w:numFmt w:val="lowerRoman"/>
      <w:start w:val="1"/>
    </w:lvl>
  </w:abstractNum>
  <w:abstractNum w:abstractNumId="16">
    <w:nsid w:val="257130A3"/>
    <w:multiLevelType w:val="hybridMultilevel"/>
    <w:lvl w:ilvl="0">
      <w:lvlJc w:val="left"/>
      <w:lvlText w:val="(%1)"/>
      <w:numFmt w:val="lowerLetter"/>
      <w:start w:val="2"/>
    </w:lvl>
  </w:abstractNum>
  <w:abstractNum w:abstractNumId="17">
    <w:nsid w:val="62BBD95A"/>
    <w:multiLevelType w:val="hybridMultilevel"/>
    <w:lvl w:ilvl="0">
      <w:lvlJc w:val="left"/>
      <w:lvlText w:val="(%1)"/>
      <w:numFmt w:val="lowerLetter"/>
      <w:start w:val="3"/>
    </w:lvl>
  </w:abstractNum>
  <w:abstractNum w:abstractNumId="18">
    <w:nsid w:val="436C6125"/>
    <w:multiLevelType w:val="hybridMultilevel"/>
    <w:lvl w:ilvl="0">
      <w:lvlJc w:val="left"/>
      <w:lvlText w:val="%1:"/>
      <w:numFmt w:val="upperLetter"/>
      <w:start w:val="20"/>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Roman"/>
      <w:start w:val="3"/>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png"/><Relationship Id="rId79" Type="http://schemas.openxmlformats.org/officeDocument/2006/relationships/image" Target="media/image48.png"/><Relationship Id="rId89"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92" Type="http://schemas.openxmlformats.org/officeDocument/2006/relationships/image" Target="media/image52.png"/><Relationship Id="rId93" Type="http://schemas.openxmlformats.org/officeDocument/2006/relationships/image" Target="media/image53.png"/><Relationship Id="rId94" Type="http://schemas.openxmlformats.org/officeDocument/2006/relationships/image" Target="media/image54.jpeg"/><Relationship Id="rId95" Type="http://schemas.openxmlformats.org/officeDocument/2006/relationships/image" Target="media/image55.png"/><Relationship Id="rId96" Type="http://schemas.openxmlformats.org/officeDocument/2006/relationships/image" Target="media/image56.jpeg"/><Relationship Id="rId97" Type="http://schemas.openxmlformats.org/officeDocument/2006/relationships/image" Target="media/image57.png"/><Relationship Id="rId98" Type="http://schemas.openxmlformats.org/officeDocument/2006/relationships/image" Target="media/image58.jpeg"/><Relationship Id="rId99" Type="http://schemas.openxmlformats.org/officeDocument/2006/relationships/image" Target="media/image59.png"/><Relationship Id="rId52" Type="http://schemas.openxmlformats.org/officeDocument/2006/relationships/hyperlink" Target="http://www.sec.gov/Archives/edgar/data/1534133/000119312523060023/d424298ddefa14a.htm" TargetMode="External"/><Relationship Id="rId53" Type="http://schemas.openxmlformats.org/officeDocument/2006/relationships/hyperlink" Target="http://www.sec.gov/Archives/edgar/data/1534133/000095017023006795/gray-20221231.htm" TargetMode="External"/><Relationship Id="rId54" Type="http://schemas.openxmlformats.org/officeDocument/2006/relationships/hyperlink" Target="http://www.sec.gov/Archives/edgar/data/1534133/000119312523090842/d471553d10ka.htm" TargetMode="External"/><Relationship Id="rId55" Type="http://schemas.openxmlformats.org/officeDocument/2006/relationships/hyperlink" Target="http://www.sec.gov/Archives/edgar/data/1534133/000095017023021775/calc-20230331.htm" TargetMode="External"/><Relationship Id="rId56" Type="http://schemas.openxmlformats.org/officeDocument/2006/relationships/hyperlink" Target="http://www.sec.gov/Archives/edgar/data/0001534133/000095017023041844/calc-20230630.htm" TargetMode="External"/><Relationship Id="rId57" Type="http://schemas.openxmlformats.org/officeDocument/2006/relationships/hyperlink" Target="http://www.sec.gov/Archives/edgar/data/0001534133/000095017023062176/calc-20230930.htm" TargetMode="External"/><Relationship Id="rId58" Type="http://schemas.openxmlformats.org/officeDocument/2006/relationships/hyperlink" Target="http://www.sec.gov/Archives/edgar/data/1534133/000119312523030003/d424959d8k.htm" TargetMode="External"/><Relationship Id="rId59" Type="http://schemas.openxmlformats.org/officeDocument/2006/relationships/hyperlink" Target="http://www.sec.gov/Archives/edgar/data/1534133/000119312523143456/d491121d8k.htm" TargetMode="External"/><Relationship Id="rId60" Type="http://schemas.openxmlformats.org/officeDocument/2006/relationships/hyperlink" Target="http://www.sec.gov/Archives/edgar/data/1534133/000119312523144226/d463877d8k.htm" TargetMode="External"/><Relationship Id="rId61" Type="http://schemas.openxmlformats.org/officeDocument/2006/relationships/hyperlink" Target="http://www.sec.gov/Archives/edgar/data/1534133/000119312523176143/d492533d8k.htm" TargetMode="External"/><Relationship Id="rId62" Type="http://schemas.openxmlformats.org/officeDocument/2006/relationships/hyperlink" Target="http://www.sec.gov/Archives/edgar/data/1534133/000119312523209160/d477357d8k.htm" TargetMode="External"/><Relationship Id="rId63" Type="http://schemas.openxmlformats.org/officeDocument/2006/relationships/hyperlink" Target="http://www.sec.gov/Archives/edgar/data/1534133/000119312523210794/d441914d8k.htm" TargetMode="External"/><Relationship Id="rId64" Type="http://schemas.openxmlformats.org/officeDocument/2006/relationships/hyperlink" Target="http://www.sec.gov/Archives/edgar/data/0001534133/000119312523268948/d565256d8k.htm" TargetMode="External"/><Relationship Id="rId65" Type="http://schemas.openxmlformats.org/officeDocument/2006/relationships/hyperlink" Target="http://www.sec.gov/Archives/edgar/data/0001534133/000119312524011738/d738337d8k.htm" TargetMode="External"/><Relationship Id="rId66" Type="http://schemas.openxmlformats.org/officeDocument/2006/relationships/hyperlink" Target="http://www.sec.gov/Archives/edgar/data/0001534133/000119312524013513/d738337d8ka.htm" TargetMode="External"/><Relationship Id="rId67" Type="http://schemas.openxmlformats.org/officeDocument/2006/relationships/hyperlink" Target="http://www.sec.gov/Archives/edgar/data/1534133/000119312520249563/d99492d8a12b.htm" TargetMode="External"/><Relationship Id="rId71" Type="http://schemas.openxmlformats.org/officeDocument/2006/relationships/hyperlink" Target="http://www.sec.gov/Archives/edgar/data/1534133/000119312523076714/d485425dex31.htm" TargetMode="External"/><Relationship Id="rId72" Type="http://schemas.openxmlformats.org/officeDocument/2006/relationships/hyperlink" Target="http://www.sec.gov/Archives/edgar/data/1534133/000119312523076714/d485425dex32.htm" TargetMode="External"/><Relationship Id="rId73" Type="http://schemas.openxmlformats.org/officeDocument/2006/relationships/hyperlink" Target="http://www.sec.gov/Archives/edgar/data/1534133/000156459020053539/gray-ex32_105.htm" TargetMode="External"/><Relationship Id="rId74" Type="http://schemas.openxmlformats.org/officeDocument/2006/relationships/hyperlink" Target="http://www.sec.gov/Archives/edgar/data/1534133/000119312520249556/d796801dex41.htm" TargetMode="External"/><Relationship Id="rId75" Type="http://schemas.openxmlformats.org/officeDocument/2006/relationships/hyperlink" Target="http://www.sec.gov/Archives/edgar/data/1534133/000119312523076714/d485425dex41.htm" TargetMode="External"/><Relationship Id="rId76" Type="http://schemas.openxmlformats.org/officeDocument/2006/relationships/hyperlink" Target="http://www.sec.gov/Archives/edgar/data/1534133/000119312523076714/d485425dex42.htm" TargetMode="External"/><Relationship Id="rId77" Type="http://schemas.openxmlformats.org/officeDocument/2006/relationships/hyperlink" Target="http://www.sec.gov/Archives/edgar/data/1534133/000119312523076714/d485425dex43.htm" TargetMode="External"/><Relationship Id="rId78" Type="http://schemas.openxmlformats.org/officeDocument/2006/relationships/hyperlink" Target="http://www.sec.gov/Archives/edgar/data/1534133/000119312523076714/d485425dex44.htm" TargetMode="External"/><Relationship Id="rId80" Type="http://schemas.openxmlformats.org/officeDocument/2006/relationships/hyperlink" Target="http://www.sec.gov/Archives/edgar/data/1534133/000119312523076714/d485425dex45.htm" TargetMode="External"/><Relationship Id="rId81" Type="http://schemas.openxmlformats.org/officeDocument/2006/relationships/hyperlink" Target="http://www.sec.gov/Archives/edgar/data/1534133/000119312523076714/d485425dex46.htm" TargetMode="External"/><Relationship Id="rId82" Type="http://schemas.openxmlformats.org/officeDocument/2006/relationships/hyperlink" Target="http://www.sec.gov/Archives/edgar/data/1534133/000119312523090982/d482049dex49.htm" TargetMode="External"/><Relationship Id="rId83" Type="http://schemas.openxmlformats.org/officeDocument/2006/relationships/hyperlink" Target="http://www.sec.gov/Archives/edgar/data/0001534133/000119312524013513/d738337dex101.htm" TargetMode="External"/><Relationship Id="rId84" Type="http://schemas.openxmlformats.org/officeDocument/2006/relationships/hyperlink" Target="http://www.sec.gov/Archives/edgar/data/0001534133/000119312524013513/d738337dex102.htm" TargetMode="External"/><Relationship Id="rId85" Type="http://schemas.openxmlformats.org/officeDocument/2006/relationships/hyperlink" Target="http://www.sec.gov/Archives/edgar/data/1534133/000119312524013513/d738337dex41.htm" TargetMode="External"/><Relationship Id="rId86" Type="http://schemas.openxmlformats.org/officeDocument/2006/relationships/hyperlink" Target="http://www.sec.gov/Archives/edgar/data/1534133/000119312524013513/d738337dex42.htm" TargetMode="External"/><Relationship Id="rId87" Type="http://schemas.openxmlformats.org/officeDocument/2006/relationships/hyperlink" Target="http://www.sec.gov/Archives/edgar/data/1534133/000119312524013513/d738337dex43.htm" TargetMode="External"/><Relationship Id="rId88" Type="http://schemas.openxmlformats.org/officeDocument/2006/relationships/hyperlink" Target="http://www.sec.gov/Archives/edgar/data/1534133/000119312524013513/d738337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2024-01-31T16:18:00Z</dcterms:created>
  <dcterms:modified xsi:type="dcterms:W3CDTF">2024-01-31T16:18:00Z</dcterms:modified>
</cp:coreProperties>
</file>