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367878ds8.htm"/>
      <w:bookmarkStart w:id="1" w:name="ksd367878ds8"/>
      <w:bookmarkEnd w:id="0"/>
      <w:bookmarkEnd w:id="1"/>
      <w:r>
        <w:rPr>
          <w:rFonts w:ascii="Times New Roman" w:hAnsi="Times New Roman"/>
          <w:b/>
          <w:sz w:val="20"/>
        </w:rPr>
        <w:t xml:space="preserve">As filed with the Securities and Exchange Commission on September 23, 2026 </w:t>
      </w:r>
    </w:p>
    <w:p>
      <w:pPr>
        <w:pStyle w:val="TextBody"/>
        <w:bidi w:val="0"/>
        <w:spacing w:before="24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CalciMedica,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pPr>
            <w:r>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pPr>
            <w:r>
              <w:rPr/>
              <w:t>45-2120079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505 Coast Boulevard South, Suite 300-9</w:t>
            </w:r>
          </w:p>
          <w:p>
            <w:pPr>
              <w:pStyle w:val="TableContents"/>
              <w:bidi w:val="0"/>
              <w:spacing w:before="0" w:after="20"/>
              <w:jc w:val="center"/>
              <w:rPr>
                <w:rFonts w:ascii="Times New Roman" w:hAnsi="Times New Roman"/>
                <w:b/>
                <w:sz w:val="20"/>
              </w:rPr>
            </w:pPr>
            <w:r>
              <w:rPr>
                <w:rFonts w:ascii="Times New Roman" w:hAnsi="Times New Roman"/>
                <w:b/>
                <w:sz w:val="20"/>
              </w:rPr>
              <w:t>La Jolla, California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92037</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2023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2023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A. Rachel Leheny,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505 Coast Boulevard South, Suite 300-9 </w:t>
      </w:r>
    </w:p>
    <w:p>
      <w:pPr>
        <w:pStyle w:val="TextBody"/>
        <w:bidi w:val="0"/>
        <w:spacing w:before="0" w:after="0"/>
        <w:jc w:val="center"/>
        <w:rPr>
          <w:rFonts w:ascii="Times New Roman" w:hAnsi="Times New Roman"/>
          <w:b/>
          <w:sz w:val="20"/>
        </w:rPr>
      </w:pPr>
      <w:r>
        <w:rPr>
          <w:rFonts w:ascii="Times New Roman" w:hAnsi="Times New Roman"/>
          <w:b/>
          <w:sz w:val="20"/>
        </w:rPr>
        <w:t xml:space="preserve">La Jolla, California 92037 </w:t>
      </w:r>
    </w:p>
    <w:p>
      <w:pPr>
        <w:pStyle w:val="TextBody"/>
        <w:bidi w:val="0"/>
        <w:spacing w:before="0" w:after="0"/>
        <w:jc w:val="center"/>
        <w:rPr>
          <w:rFonts w:ascii="Times New Roman" w:hAnsi="Times New Roman"/>
          <w:b/>
          <w:sz w:val="20"/>
        </w:rPr>
      </w:pPr>
      <w:r>
        <w:rPr>
          <w:rFonts w:ascii="Times New Roman" w:hAnsi="Times New Roman"/>
          <w:b/>
          <w:sz w:val="20"/>
        </w:rPr>
        <w:t xml:space="preserve">(858) 952-5500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Thomas A. Coll</w:t>
            </w:r>
          </w:p>
          <w:p>
            <w:pPr>
              <w:pStyle w:val="TableContents"/>
              <w:bidi w:val="0"/>
              <w:spacing w:before="0" w:after="0"/>
              <w:jc w:val="center"/>
              <w:rPr>
                <w:rFonts w:ascii="Times New Roman" w:hAnsi="Times New Roman"/>
                <w:b/>
                <w:sz w:val="20"/>
              </w:rPr>
            </w:pPr>
            <w:r>
              <w:rPr>
                <w:rFonts w:ascii="Times New Roman" w:hAnsi="Times New Roman"/>
                <w:b/>
                <w:sz w:val="20"/>
              </w:rPr>
              <w:t>Carlos Ramirez</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10265 Science Center Drive</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92121</w:t>
            </w:r>
          </w:p>
          <w:p>
            <w:pPr>
              <w:pStyle w:val="TableContents"/>
              <w:bidi w:val="0"/>
              <w:spacing w:before="0" w:after="20"/>
              <w:jc w:val="center"/>
              <w:rPr>
                <w:rFonts w:ascii="Times New Roman" w:hAnsi="Times New Roman"/>
                <w:b/>
                <w:sz w:val="20"/>
              </w:rPr>
            </w:pPr>
            <w:r>
              <w:rPr>
                <w:rFonts w:ascii="Times New Roman" w:hAnsi="Times New Roman"/>
                <w:b/>
                <w:sz w:val="20"/>
              </w:rPr>
              <w:t>(858) 550-6000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John M. Dunn</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505 Coast Boulevard South, Suite 300-9</w:t>
            </w:r>
          </w:p>
          <w:p>
            <w:pPr>
              <w:pStyle w:val="TableContents"/>
              <w:bidi w:val="0"/>
              <w:spacing w:before="0" w:after="0"/>
              <w:jc w:val="center"/>
              <w:rPr>
                <w:rFonts w:ascii="Times New Roman" w:hAnsi="Times New Roman"/>
                <w:b/>
                <w:sz w:val="20"/>
              </w:rPr>
            </w:pPr>
            <w:r>
              <w:rPr>
                <w:rFonts w:ascii="Times New Roman" w:hAnsi="Times New Roman"/>
                <w:b/>
                <w:sz w:val="20"/>
              </w:rPr>
              <w:t>La Jolla, California 92037</w:t>
            </w:r>
          </w:p>
          <w:p>
            <w:pPr>
              <w:pStyle w:val="TableContents"/>
              <w:bidi w:val="0"/>
              <w:spacing w:before="0" w:after="20"/>
              <w:jc w:val="center"/>
              <w:rPr>
                <w:rFonts w:ascii="Times New Roman" w:hAnsi="Times New Roman"/>
                <w:b/>
                <w:sz w:val="20"/>
              </w:rPr>
            </w:pPr>
            <w:r>
              <w:rPr>
                <w:rFonts w:ascii="Times New Roman" w:hAnsi="Times New Roman"/>
                <w:b/>
                <w:sz w:val="20"/>
              </w:rPr>
              <w:t>(858) 952-5500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OF ADDITIONAL SHARES PURSUANT TO GENERAL INSTRUCTION E </w:t>
      </w:r>
    </w:p>
    <w:p>
      <w:pPr>
        <w:pStyle w:val="TextBody"/>
        <w:bidi w:val="0"/>
        <w:spacing w:before="240" w:after="0"/>
        <w:jc w:val="left"/>
        <w:rPr/>
      </w:pPr>
      <w:r>
        <w:rPr>
          <w:rFonts w:ascii="Times New Roman" w:hAnsi="Times New Roman"/>
          <w:sz w:val="20"/>
        </w:rPr>
        <w:t>This Registration Statement on Form S-8 is being filed by CalciMedica, Inc. (the “</w:t>
      </w:r>
      <w:r>
        <w:rPr>
          <w:rFonts w:ascii="Times New Roman" w:hAnsi="Times New Roman"/>
          <w:b/>
          <w:i/>
          <w:sz w:val="20"/>
        </w:rPr>
        <w:t>Registrant</w:t>
      </w:r>
      <w:r>
        <w:rPr>
          <w:rFonts w:ascii="Times New Roman" w:hAnsi="Times New Roman"/>
          <w:sz w:val="20"/>
        </w:rPr>
        <w:t>”) with the Securities and Exchange Commission (the “</w:t>
      </w:r>
      <w:r>
        <w:rPr>
          <w:rFonts w:ascii="Times New Roman" w:hAnsi="Times New Roman"/>
          <w:b/>
          <w:i/>
          <w:sz w:val="20"/>
        </w:rPr>
        <w:t>SEC</w:t>
      </w:r>
      <w:r>
        <w:rPr>
          <w:rFonts w:ascii="Times New Roman" w:hAnsi="Times New Roman"/>
          <w:sz w:val="20"/>
        </w:rPr>
        <w:t xml:space="preserve">”) for the purpose of increasing the number of securities of the same class as other securities for which a Registration Statement on Form S-8 relating to the same employee benefit plans is effective. The Registrant previously registered its shares of common stock, par value $0.0001 per share, for issuance under (i) the Registrant’s 2023 Employee Stock Purchase Plan under the Registrant’s Registration Statements on Form S-8 filed with the SEC on </w:t>
      </w:r>
      <w:hyperlink r:id="rId2">
        <w:r>
          <w:rPr>
            <w:rStyle w:val="InternetLink"/>
            <w:rFonts w:ascii="Times New Roman" w:hAnsi="Times New Roman"/>
            <w:sz w:val="20"/>
            <w:u w:val="single"/>
          </w:rPr>
          <w:t>May 12, 2023</w:t>
        </w:r>
      </w:hyperlink>
      <w:r>
        <w:rPr>
          <w:rFonts w:ascii="Times New Roman" w:hAnsi="Times New Roman"/>
          <w:sz w:val="20"/>
        </w:rPr>
        <w:t xml:space="preserve"> (File No. 333-271898), </w:t>
      </w:r>
      <w:hyperlink r:id="rId3">
        <w:r>
          <w:rPr>
            <w:rStyle w:val="InternetLink"/>
            <w:rFonts w:ascii="Times New Roman" w:hAnsi="Times New Roman"/>
            <w:sz w:val="20"/>
            <w:u w:val="single"/>
          </w:rPr>
          <w:t>March 28, 2024</w:t>
        </w:r>
      </w:hyperlink>
      <w:r>
        <w:rPr>
          <w:rFonts w:ascii="Times New Roman" w:hAnsi="Times New Roman"/>
          <w:sz w:val="20"/>
        </w:rPr>
        <w:t xml:space="preserve"> (File No. 333-278336) and </w:t>
      </w:r>
      <w:hyperlink r:id="rId4">
        <w:r>
          <w:rPr>
            <w:rStyle w:val="InternetLink"/>
            <w:rFonts w:ascii="Times New Roman" w:hAnsi="Times New Roman"/>
            <w:sz w:val="20"/>
          </w:rPr>
          <w:t>June  24, 2025</w:t>
        </w:r>
      </w:hyperlink>
      <w:r>
        <w:rPr>
          <w:rFonts w:ascii="Times New Roman" w:hAnsi="Times New Roman"/>
          <w:sz w:val="20"/>
        </w:rPr>
        <w:t xml:space="preserve">, as amended </w:t>
      </w:r>
      <w:hyperlink r:id="rId5">
        <w:r>
          <w:rPr>
            <w:rStyle w:val="InternetLink"/>
            <w:rFonts w:ascii="Times New Roman" w:hAnsi="Times New Roman"/>
            <w:sz w:val="20"/>
          </w:rPr>
          <w:t>June 27, 2025</w:t>
        </w:r>
      </w:hyperlink>
      <w:r>
        <w:rPr>
          <w:rFonts w:ascii="Times New Roman" w:hAnsi="Times New Roman"/>
          <w:sz w:val="20"/>
        </w:rPr>
        <w:t xml:space="preserve"> (File No. 333-288287) (collectively, the “</w:t>
      </w:r>
      <w:r>
        <w:rPr>
          <w:rFonts w:ascii="Times New Roman" w:hAnsi="Times New Roman"/>
          <w:b/>
          <w:i/>
          <w:sz w:val="20"/>
        </w:rPr>
        <w:t>Registration Statements</w:t>
      </w:r>
      <w:r>
        <w:rPr>
          <w:rFonts w:ascii="Times New Roman" w:hAnsi="Times New Roman"/>
          <w:sz w:val="20"/>
        </w:rPr>
        <w:t xml:space="preserve">”) and (ii) the Registrant’s Amended 2023 Equity Incentive Plan under the Registration Statements and the Registrant’s Registration Statement on Form S-8 filed with the SEC on </w:t>
      </w:r>
      <w:hyperlink r:id="rId6">
        <w:r>
          <w:rPr>
            <w:rStyle w:val="InternetLink"/>
            <w:rFonts w:ascii="Times New Roman" w:hAnsi="Times New Roman"/>
            <w:sz w:val="20"/>
            <w:u w:val="single"/>
          </w:rPr>
          <w:t>August 27, 2024</w:t>
        </w:r>
      </w:hyperlink>
      <w:r>
        <w:rPr>
          <w:rFonts w:ascii="Times New Roman" w:hAnsi="Times New Roman"/>
          <w:sz w:val="20"/>
        </w:rPr>
        <w:t xml:space="preserve"> (File No. 333-281800) (together with the Registration Statements, the “</w:t>
      </w:r>
      <w:r>
        <w:rPr>
          <w:rFonts w:ascii="Times New Roman" w:hAnsi="Times New Roman"/>
          <w:b/>
          <w:i/>
          <w:sz w:val="20"/>
        </w:rPr>
        <w:t>Prior Registration Statements</w:t>
      </w:r>
      <w:r>
        <w:rPr>
          <w:rFonts w:ascii="Times New Roman" w:hAnsi="Times New Roman"/>
          <w:sz w:val="20"/>
        </w:rPr>
        <w:t>”). On August 27, 2026 the Company effected a reverse stock split of its outstanding shares of Common Stock at a ratio of 1-for-5 (the “</w:t>
      </w:r>
      <w:r>
        <w:rPr>
          <w:rFonts w:ascii="Times New Roman" w:hAnsi="Times New Roman"/>
          <w:b/>
          <w:i/>
          <w:sz w:val="20"/>
        </w:rPr>
        <w:t>Reverse Stock Split</w:t>
      </w:r>
      <w:r>
        <w:rPr>
          <w:rFonts w:ascii="Times New Roman" w:hAnsi="Times New Roman"/>
          <w:sz w:val="20"/>
        </w:rPr>
        <w:t xml:space="preserve">”). The number of shares of Common Stock registered hereby gives effect to the Reverse Stock Split and the shares of Common Stock registered by the Prior Registration Statements have been automatically adjusted to give effect to the Reverse Stock Split; however such Prior Registration Statements and any documents incorporated by reference herein and therein, except as otherwise stated, have not been amended to reflect such automatic adjustment or the Reverse Stock Split. Pursuant to General Instruction E to Form S-8, this Registration Statement hereby incorporates by reference the contents of the Prior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518"/>
        <w:gridCol w:w="9072"/>
      </w:tblGrid>
      <w:tr>
        <w:trPr/>
        <w:tc>
          <w:tcPr>
            <w:tcW w:w="615"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518" w:type="dxa"/>
            <w:tcBorders/>
            <w:vAlign w:val="bottom"/>
          </w:tcPr>
          <w:p>
            <w:pPr>
              <w:pStyle w:val="TableContents"/>
              <w:bidi w:val="0"/>
              <w:spacing w:before="0" w:after="283"/>
              <w:jc w:val="left"/>
              <w:rPr/>
            </w:pPr>
            <w:r>
              <w:rPr/>
              <w:t>  </w:t>
            </w:r>
          </w:p>
        </w:tc>
        <w:tc>
          <w:tcPr>
            <w:tcW w:w="90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4.1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7">
              <w:r>
                <w:rPr>
                  <w:rStyle w:val="InternetLink"/>
                </w:rPr>
                <w:t>Amended and Restated Certificate of Incorporation (incorporated by reference to Exhibit 3.1 to the Registrant’s Current Report on Form 8-K, filed with the SEC on March 22, 2023).</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4.2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8">
              <w:r>
                <w:rPr>
                  <w:rStyle w:val="InternetLink"/>
                </w:rPr>
                <w:t>Certificate of Amendment to Amended and Restated Certificate of Incorporation of the Registrant (incorporated by reference to Exhibit 3.2 to the Registrant’s Current Report on Form 8-K, filed with the SEC on March 22, 2023).</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4.3</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9">
              <w:r>
                <w:rPr>
                  <w:rStyle w:val="InternetLink"/>
                </w:rPr>
                <w:t>Certificate of Amendment to Amended and Restated Certificate of Incorporation of CalciMedica, Inc., effective August  28, 2026 (incorporated by reference to Exhibit 3.1 to the Registrant’s Current Report on Form 8-K, filed with the SEC on August 27, 2026).</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4.4</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0">
              <w:r>
                <w:rPr>
                  <w:rStyle w:val="InternetLink"/>
                </w:rPr>
                <w:t>Restated Bylaws (incorporated by reference to Exhibit 3.2 to the Registrant’s Quarterly Report on Form 10-Q, filed with the SEC on November 12, 2020).</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 </w:t>
            </w:r>
            <w:r>
              <w:rPr/>
              <w:t>5.1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367878dex51.htm">
              <w:r>
                <w:rPr>
                  <w:rStyle w:val="InternetLink"/>
                </w:rPr>
                <w:t xml:space="preserve">Opinion of Cooley LLP.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367878dex231.htm">
              <w:r>
                <w:rPr>
                  <w:rStyle w:val="InternetLink"/>
                </w:rPr>
                <w:t xml:space="preserve">Consent of Independent Registered Public Accounting Firm.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23.2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367878dex51.htm">
              <w:r>
                <w:rPr>
                  <w:rStyle w:val="InternetLink"/>
                </w:rPr>
                <w:t xml:space="preserve">Consent of Cooley LLP. Reference is made to Exhibit 5.1.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24.1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sig">
              <w:r>
                <w:rPr>
                  <w:rStyle w:val="InternetLink"/>
                </w:rPr>
                <w:t xml:space="preserve">Power of Attorney. Reference is made to the signature page hereto.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99.1</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1">
              <w:r>
                <w:rPr>
                  <w:rStyle w:val="InternetLink"/>
                </w:rPr>
                <w:t xml:space="preserve">CalciMedica, Inc. Amended 2023 Equity Incentive Plan (incorporated by reference to Exhibit 10.1 to the Registrant’s Current Report on Form 8-K, filed with the SEC on August 20, 2026).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99.2</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2">
              <w:r>
                <w:rPr>
                  <w:rStyle w:val="InternetLink"/>
                </w:rPr>
                <w:t xml:space="preserve">Form of Option Grant Notice and Option Agreement under CalciMedica, Inc. 2023 Equity Incentive Plan (incorporated by reference to Exhibit 10.7 to the Registrant’s Current Report on Form 8-K, filed with the SEC on March 22, 2023).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99.3</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3">
              <w:r>
                <w:rPr>
                  <w:rStyle w:val="InternetLink"/>
                </w:rPr>
                <w:t>Forms of Restricted Stock Unit Grant Notice and Unit Award Agreement under CalciMedica, Inc. 2023 Equity Incentive Plan (incorporated by reference to Exhibit 10.8 to the Registrant’s Current Report on Form 8-K, filed with the SEC on March 22, 2023).</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99.4</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r:id="rId14">
              <w:r>
                <w:rPr>
                  <w:rStyle w:val="InternetLink"/>
                </w:rPr>
                <w:t xml:space="preserve">CalciMedica, Inc. 2023 Employee Stock Purchase Plan (incorporated by reference to Exhibit 10.9 to the Registrant’s Quarterly Report on Form 10-Q, filed with the SEC on May 12, 2023). </w:t>
              </w:r>
            </w:hyperlink>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107</w:t>
            </w:r>
          </w:p>
        </w:tc>
        <w:tc>
          <w:tcPr>
            <w:tcW w:w="518" w:type="dxa"/>
            <w:tcBorders/>
            <w:vAlign w:val="bottom"/>
          </w:tcPr>
          <w:p>
            <w:pPr>
              <w:pStyle w:val="TableContents"/>
              <w:bidi w:val="0"/>
              <w:spacing w:before="0" w:after="283"/>
              <w:jc w:val="left"/>
              <w:rPr/>
            </w:pPr>
            <w:r>
              <w:rPr/>
              <w:t>  </w:t>
            </w:r>
          </w:p>
        </w:tc>
        <w:tc>
          <w:tcPr>
            <w:tcW w:w="9072" w:type="dxa"/>
            <w:tcBorders/>
          </w:tcPr>
          <w:p>
            <w:pPr>
              <w:pStyle w:val="TableContents"/>
              <w:bidi w:val="0"/>
              <w:spacing w:before="0" w:after="283"/>
              <w:jc w:val="left"/>
              <w:rPr/>
            </w:pPr>
            <w:hyperlink w:anchor="d367878dexfilingfees.htm">
              <w:r>
                <w:rPr>
                  <w:rStyle w:val="InternetLink"/>
                </w:rPr>
                <w:t xml:space="preserve">Filing Fee Table.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La Jolla, State of California, on September 23,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CALCIMEDICA,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 Rachel Leheny, Ph.D.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A. Rachel Leheny, Ph.D.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A. Rachel Leheny, Ph.D. and Stephen Bardin,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CalciMedica,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on Form S-8 has been signed by the following persons in the capacities and on the dates indicated.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846"/>
        <w:gridCol w:w="120"/>
        <w:gridCol w:w="3628"/>
        <w:gridCol w:w="107"/>
        <w:gridCol w:w="2504"/>
      </w:tblGrid>
      <w:tr>
        <w:trPr/>
        <w:tc>
          <w:tcPr>
            <w:tcW w:w="38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r>
      <w:tr>
        <w:trPr/>
        <w:tc>
          <w:tcPr>
            <w:tcW w:w="38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6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2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RACHEL LEHENY, PH.D.</w:t>
            </w:r>
          </w:p>
          <w:p>
            <w:pPr>
              <w:pStyle w:val="TableContents"/>
              <w:bidi w:val="0"/>
              <w:spacing w:before="0" w:after="20"/>
              <w:jc w:val="center"/>
              <w:rPr>
                <w:rFonts w:ascii="Times New Roman" w:hAnsi="Times New Roman"/>
                <w:sz w:val="20"/>
              </w:rPr>
            </w:pPr>
            <w:r>
              <w:rPr>
                <w:rFonts w:ascii="Times New Roman" w:hAnsi="Times New Roman"/>
                <w:sz w:val="20"/>
              </w:rPr>
              <w:t>A. Rachel Leheny, Ph.D.</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BARDIN, M.B.A.</w:t>
            </w:r>
          </w:p>
          <w:p>
            <w:pPr>
              <w:pStyle w:val="TableContents"/>
              <w:bidi w:val="0"/>
              <w:spacing w:before="0" w:after="20"/>
              <w:jc w:val="center"/>
              <w:rPr>
                <w:rFonts w:ascii="Times New Roman" w:hAnsi="Times New Roman"/>
                <w:sz w:val="20"/>
              </w:rPr>
            </w:pPr>
            <w:r>
              <w:rPr>
                <w:rFonts w:ascii="Times New Roman" w:hAnsi="Times New Roman"/>
                <w:sz w:val="20"/>
              </w:rPr>
              <w:t>Stephen Bardin, MBA</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and Accounting Officer)</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N. WILSON</w:t>
            </w:r>
          </w:p>
          <w:p>
            <w:pPr>
              <w:pStyle w:val="TableContents"/>
              <w:bidi w:val="0"/>
              <w:spacing w:before="0" w:after="20"/>
              <w:jc w:val="center"/>
              <w:rPr>
                <w:rFonts w:ascii="Times New Roman" w:hAnsi="Times New Roman"/>
                <w:sz w:val="20"/>
              </w:rPr>
            </w:pPr>
            <w:r>
              <w:rPr>
                <w:rFonts w:ascii="Times New Roman" w:hAnsi="Times New Roman"/>
                <w:sz w:val="20"/>
              </w:rPr>
              <w:t>Robert N. Wilson</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center"/>
              <w:rPr/>
            </w:pPr>
            <w:r>
              <w:rPr/>
              <w:t>Chairman</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ALAN GLICKLICH, M.B.A.</w:t>
            </w:r>
          </w:p>
          <w:p>
            <w:pPr>
              <w:pStyle w:val="TableContents"/>
              <w:bidi w:val="0"/>
              <w:spacing w:before="0" w:after="20"/>
              <w:jc w:val="center"/>
              <w:rPr>
                <w:rFonts w:ascii="Times New Roman" w:hAnsi="Times New Roman"/>
                <w:sz w:val="20"/>
              </w:rPr>
            </w:pPr>
            <w:r>
              <w:rPr>
                <w:rFonts w:ascii="Times New Roman" w:hAnsi="Times New Roman"/>
                <w:sz w:val="20"/>
              </w:rPr>
              <w:t>Alan Glicklich, M.D., M.B.A.</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FREDERIC GUERARD, PHARM.D.</w:t>
            </w:r>
          </w:p>
          <w:p>
            <w:pPr>
              <w:pStyle w:val="TableContents"/>
              <w:bidi w:val="0"/>
              <w:spacing w:before="0" w:after="20"/>
              <w:jc w:val="center"/>
              <w:rPr>
                <w:rFonts w:ascii="Times New Roman" w:hAnsi="Times New Roman"/>
                <w:sz w:val="20"/>
              </w:rPr>
            </w:pPr>
            <w:r>
              <w:rPr>
                <w:rFonts w:ascii="Times New Roman" w:hAnsi="Times New Roman"/>
                <w:sz w:val="20"/>
              </w:rPr>
              <w:t>Frederic Guerard, Pharm.D.</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ALLAN SHAW</w:t>
            </w:r>
          </w:p>
          <w:p>
            <w:pPr>
              <w:pStyle w:val="TableContents"/>
              <w:bidi w:val="0"/>
              <w:spacing w:before="0" w:after="20"/>
              <w:jc w:val="center"/>
              <w:rPr>
                <w:rFonts w:ascii="Times New Roman" w:hAnsi="Times New Roman"/>
                <w:sz w:val="20"/>
              </w:rPr>
            </w:pPr>
            <w:r>
              <w:rPr>
                <w:rFonts w:ascii="Times New Roman" w:hAnsi="Times New Roman"/>
                <w:sz w:val="20"/>
              </w:rPr>
              <w:t>Allan Shaw</w:t>
            </w:r>
          </w:p>
        </w:tc>
        <w:tc>
          <w:tcPr>
            <w:tcW w:w="12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center"/>
              <w:rPr/>
            </w:pPr>
            <w:r>
              <w:rPr/>
              <w:t>September 23, 2026</w:t>
            </w:r>
          </w:p>
        </w:tc>
      </w:tr>
      <w:tr>
        <w:trPr>
          <w:trHeight w:val="240" w:hRule="atLeast"/>
        </w:trPr>
        <w:tc>
          <w:tcPr>
            <w:tcW w:w="3846"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c>
          <w:tcPr>
            <w:tcW w:w="2611" w:type="dxa"/>
            <w:gridSpan w:val="2"/>
            <w:tcBorders/>
            <w:vAlign w:val="center"/>
          </w:tcPr>
          <w:p>
            <w:pPr>
              <w:pStyle w:val="TableContents"/>
              <w:bidi w:val="0"/>
              <w:spacing w:before="0" w:after="283"/>
              <w:jc w:val="left"/>
              <w:rPr>
                <w:sz w:val="4"/>
                <w:szCs w:val="4"/>
              </w:rPr>
            </w:pPr>
            <w:r>
              <w:rPr>
                <w:sz w:val="4"/>
                <w:szCs w:val="4"/>
              </w:rPr>
            </w:r>
          </w:p>
        </w:tc>
      </w:tr>
      <w:tr>
        <w:trPr/>
        <w:tc>
          <w:tcPr>
            <w:tcW w:w="3846"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EVGENY ZAYTSEV</w:t>
            </w:r>
          </w:p>
        </w:tc>
        <w:tc>
          <w:tcPr>
            <w:tcW w:w="120" w:type="dxa"/>
            <w:vMerge w:val="restart"/>
            <w:tcBorders/>
            <w:vAlign w:val="bottom"/>
          </w:tcPr>
          <w:p>
            <w:pPr>
              <w:pStyle w:val="TableContents"/>
              <w:bidi w:val="0"/>
              <w:spacing w:before="0" w:after="283"/>
              <w:jc w:val="left"/>
              <w:rPr/>
            </w:pPr>
            <w:r>
              <w:rPr/>
              <w:t>  </w:t>
            </w:r>
          </w:p>
        </w:tc>
        <w:tc>
          <w:tcPr>
            <w:tcW w:w="3628" w:type="dxa"/>
            <w:vMerge w:val="restart"/>
            <w:tcBorders/>
          </w:tcPr>
          <w:p>
            <w:pPr>
              <w:pStyle w:val="TableContents"/>
              <w:bidi w:val="0"/>
              <w:spacing w:before="0" w:after="283"/>
              <w:jc w:val="center"/>
              <w:rPr/>
            </w:pPr>
            <w:r>
              <w:rPr/>
              <w:t>Director</w:t>
            </w:r>
          </w:p>
        </w:tc>
        <w:tc>
          <w:tcPr>
            <w:tcW w:w="107" w:type="dxa"/>
            <w:vMerge w:val="restart"/>
            <w:tcBorders/>
            <w:vAlign w:val="bottom"/>
          </w:tcPr>
          <w:p>
            <w:pPr>
              <w:pStyle w:val="TableContents"/>
              <w:bidi w:val="0"/>
              <w:spacing w:before="0" w:after="283"/>
              <w:jc w:val="left"/>
              <w:rPr/>
            </w:pPr>
            <w:r>
              <w:rPr/>
              <w:t> </w:t>
            </w:r>
          </w:p>
        </w:tc>
        <w:tc>
          <w:tcPr>
            <w:tcW w:w="2504" w:type="dxa"/>
            <w:vMerge w:val="restart"/>
            <w:tcBorders/>
          </w:tcPr>
          <w:p>
            <w:pPr>
              <w:pStyle w:val="TableContents"/>
              <w:bidi w:val="0"/>
              <w:spacing w:before="0" w:after="283"/>
              <w:jc w:val="center"/>
              <w:rPr/>
            </w:pPr>
            <w:r>
              <w:rPr/>
              <w:t>September 23, 2026</w:t>
            </w:r>
          </w:p>
        </w:tc>
      </w:tr>
      <w:tr>
        <w:trPr/>
        <w:tc>
          <w:tcPr>
            <w:tcW w:w="3846" w:type="dxa"/>
            <w:tcBorders/>
          </w:tcPr>
          <w:p>
            <w:pPr>
              <w:pStyle w:val="TableContents"/>
              <w:bidi w:val="0"/>
              <w:spacing w:before="0" w:after="283"/>
              <w:jc w:val="center"/>
              <w:rPr/>
            </w:pPr>
            <w:r>
              <w:rPr/>
              <w:t>Evgeny Zaytsev, M.D., Ph.D.</w:t>
            </w:r>
          </w:p>
        </w:tc>
        <w:tc>
          <w:tcPr>
            <w:tcW w:w="120" w:type="dxa"/>
            <w:vMerge w:val="continue"/>
            <w:tcBorders/>
            <w:vAlign w:val="bottom"/>
          </w:tcPr>
          <w:p>
            <w:pPr>
              <w:pStyle w:val="Normal"/>
              <w:bidi w:val="0"/>
              <w:jc w:val="left"/>
              <w:rPr/>
            </w:pPr>
            <w:r>
              <w:rPr/>
            </w:r>
          </w:p>
        </w:tc>
        <w:tc>
          <w:tcPr>
            <w:tcW w:w="3628"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2504" w:type="dxa"/>
            <w:vMerge w:val="continue"/>
            <w:tcBorders/>
          </w:tcPr>
          <w:p>
            <w:pPr>
              <w:pStyle w:val="Normal"/>
              <w:bidi w:val="0"/>
              <w:jc w:val="left"/>
              <w:rPr/>
            </w:pPr>
            <w:r>
              <w:rPr/>
            </w:r>
          </w:p>
        </w:tc>
      </w:tr>
    </w:tbl>
    <w:p>
      <w:pPr>
        <w:pStyle w:val="TextBody"/>
        <w:bidi w:val="0"/>
        <w:spacing w:before="0" w:after="0"/>
        <w:jc w:val="right"/>
        <w:rPr>
          <w:rFonts w:ascii="Times New Roman" w:hAnsi="Times New Roman"/>
          <w:b/>
          <w:sz w:val="20"/>
        </w:rPr>
      </w:pPr>
      <w:bookmarkStart w:id="3" w:name="d367878dex51.htm"/>
      <w:bookmarkStart w:id="4" w:name="ksd36787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144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514475" cy="5238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Carlos Ramirez </w:t>
      </w:r>
    </w:p>
    <w:p>
      <w:pPr>
        <w:pStyle w:val="TextBody"/>
        <w:bidi w:val="0"/>
        <w:spacing w:before="0" w:after="0"/>
        <w:jc w:val="left"/>
        <w:rPr>
          <w:rFonts w:ascii="Times New Roman" w:hAnsi="Times New Roman"/>
          <w:sz w:val="20"/>
        </w:rPr>
      </w:pPr>
      <w:r>
        <w:rPr>
          <w:rFonts w:ascii="Times New Roman" w:hAnsi="Times New Roman"/>
          <w:sz w:val="20"/>
        </w:rPr>
        <w:t xml:space="preserve">T: +1 858 550 6157 </w:t>
      </w:r>
    </w:p>
    <w:p>
      <w:pPr>
        <w:pStyle w:val="TextBody"/>
        <w:bidi w:val="0"/>
        <w:spacing w:before="0" w:after="0"/>
        <w:jc w:val="left"/>
        <w:rPr>
          <w:rFonts w:ascii="Times New Roman" w:hAnsi="Times New Roman"/>
          <w:sz w:val="20"/>
        </w:rPr>
      </w:pPr>
      <w:r>
        <w:rPr>
          <w:rFonts w:ascii="Times New Roman" w:hAnsi="Times New Roman"/>
          <w:sz w:val="20"/>
        </w:rPr>
        <w:t xml:space="preserve">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September 23, 2026 </w:t>
      </w:r>
    </w:p>
    <w:p>
      <w:pPr>
        <w:pStyle w:val="TextBody"/>
        <w:bidi w:val="0"/>
        <w:spacing w:before="24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left"/>
        <w:rPr>
          <w:rFonts w:ascii="Times New Roman" w:hAnsi="Times New Roman"/>
          <w:sz w:val="20"/>
        </w:rPr>
      </w:pPr>
      <w:r>
        <w:rPr>
          <w:rFonts w:ascii="Times New Roman" w:hAnsi="Times New Roman"/>
          <w:sz w:val="20"/>
        </w:rPr>
        <w:t xml:space="preserve">La Jolla, CA 92037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CalciMedica,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up to 1,685,248 shares of the Company’s Common Stock, $0.0001 par value per share (the “</w:t>
      </w:r>
      <w:r>
        <w:rPr>
          <w:rFonts w:ascii="Times New Roman" w:hAnsi="Times New Roman"/>
          <w:b/>
          <w:i/>
          <w:sz w:val="20"/>
        </w:rPr>
        <w:t>Shares</w:t>
      </w:r>
      <w:r>
        <w:rPr>
          <w:rFonts w:ascii="Times New Roman" w:hAnsi="Times New Roman"/>
          <w:sz w:val="20"/>
        </w:rPr>
        <w:t>”), consisting of (i) 1,654,374 shares issuable pursuant to the Company’s 2023 Equity Incentive Plan, as amended (the “</w:t>
      </w:r>
      <w:r>
        <w:rPr>
          <w:rFonts w:ascii="Times New Roman" w:hAnsi="Times New Roman"/>
          <w:b/>
          <w:i/>
          <w:sz w:val="20"/>
        </w:rPr>
        <w:t>2023 Plan</w:t>
      </w:r>
      <w:r>
        <w:rPr>
          <w:rFonts w:ascii="Times New Roman" w:hAnsi="Times New Roman"/>
          <w:sz w:val="20"/>
        </w:rPr>
        <w:t>”), and (ii) 30,874 shares issuable pursuant to the Company’s 2023 Employee Stock Purchase Plan (together with the 2023 Plan, the “</w:t>
      </w:r>
      <w:r>
        <w:rPr>
          <w:rFonts w:ascii="Times New Roman" w:hAnsi="Times New Roman"/>
          <w:b/>
          <w:i/>
          <w:sz w:val="20"/>
        </w:rPr>
        <w:t>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(i) the Registration Statement and related prospectuses, (ii) the Company’s certificate of incorporation and bylaws, each as currently in effect, (iii) the Plans, and (iv) such other records, documents,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240" w:after="0"/>
        <w:jc w:val="center"/>
        <w:rPr>
          <w:rFonts w:ascii="Times New Roman" w:hAnsi="Times New Roman"/>
          <w:sz w:val="16"/>
        </w:rPr>
      </w:pPr>
      <w:r>
        <w:rPr>
          <w:rFonts w:ascii="Times New Roman" w:hAnsi="Times New Roman"/>
          <w:sz w:val="16"/>
        </w:rPr>
        <w:t xml:space="preserve">Cooley LLP 10265 Science Center Drive San Diego, CA 92121 </w:t>
      </w:r>
    </w:p>
    <w:p>
      <w:pPr>
        <w:pStyle w:val="TextBody"/>
        <w:bidi w:val="0"/>
        <w:spacing w:before="0" w:after="0"/>
        <w:jc w:val="center"/>
        <w:rPr>
          <w:rFonts w:ascii="Times New Roman" w:hAnsi="Times New Roman"/>
          <w:sz w:val="16"/>
        </w:rPr>
      </w:pPr>
      <w:r>
        <w:rPr>
          <w:rFonts w:ascii="Times New Roman" w:hAnsi="Times New Roman"/>
          <w:sz w:val="16"/>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1447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514475" cy="5238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Carlos A. Ramirez</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Carlos A. Ramirez</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Cooley LLP 10265 Science Center Drive San Diego, CA 92121 </w:t>
      </w:r>
    </w:p>
    <w:p>
      <w:pPr>
        <w:pStyle w:val="TextBody"/>
        <w:bidi w:val="0"/>
        <w:spacing w:before="0" w:after="0"/>
        <w:jc w:val="center"/>
        <w:rPr>
          <w:rFonts w:ascii="Times New Roman" w:hAnsi="Times New Roman"/>
          <w:sz w:val="16"/>
        </w:rPr>
      </w:pPr>
      <w:r>
        <w:rPr>
          <w:rFonts w:ascii="Times New Roman" w:hAnsi="Times New Roman"/>
          <w:sz w:val="16"/>
        </w:rPr>
        <w:t xml:space="preserve">t: (858) 550-6000 f: (858) 550-6420 cooley.com </w:t>
      </w:r>
    </w:p>
    <w:p>
      <w:pPr>
        <w:pStyle w:val="TextBody"/>
        <w:bidi w:val="0"/>
        <w:spacing w:before="0" w:after="0"/>
        <w:jc w:val="right"/>
        <w:rPr>
          <w:rFonts w:ascii="Times New Roman" w:hAnsi="Times New Roman"/>
          <w:b/>
          <w:sz w:val="20"/>
        </w:rPr>
      </w:pPr>
      <w:bookmarkStart w:id="5" w:name="d367878dex231.htm"/>
      <w:bookmarkStart w:id="6" w:name="ksd367878dex231"/>
      <w:bookmarkEnd w:id="5"/>
      <w:bookmarkEnd w:id="6"/>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CalciMedica, Inc. (the “Company”) of our report dated March 3, 2026, relating to the consolidated financial statements of the Company (which report expresses an unqualified opinion and includes an explanatory paragraph relating to a going concern uncertainty), appearing in the Annual Report on Form 10-K of the Company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Baker Tilly US,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September 23, 2026 </w:t>
      </w:r>
    </w:p>
    <w:p>
      <w:pPr>
        <w:pStyle w:val="Normal"/>
        <w:bidi w:val="0"/>
        <w:spacing w:before="0" w:after="0"/>
        <w:jc w:val="left"/>
        <w:rPr>
          <w:sz w:val="4"/>
          <w:szCs w:val="4"/>
        </w:rPr>
      </w:pPr>
      <w:r>
        <w:rPr>
          <w:sz w:val="4"/>
          <w:szCs w:val="4"/>
        </w:rPr>
      </w:r>
      <w:bookmarkStart w:id="7" w:name="d367878dexfilingfees.htm"/>
      <w:bookmarkStart w:id="8" w:name="ksd367878dexfilingfees"/>
      <w:bookmarkStart w:id="9" w:name="d367878dexfilingfees.htm"/>
      <w:bookmarkStart w:id="10" w:name="ksd367878dexfilingfees"/>
      <w:bookmarkEnd w:id="9"/>
      <w:bookmarkEnd w:id="10"/>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CalciMedica,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4"/>
        <w:gridCol w:w="1200"/>
        <w:gridCol w:w="1289"/>
        <w:gridCol w:w="1198"/>
        <w:gridCol w:w="1201"/>
        <w:gridCol w:w="1575"/>
        <w:gridCol w:w="1126"/>
        <w:gridCol w:w="142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4"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9"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8"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7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4" w:type="dxa"/>
            <w:tcBorders/>
            <w:shd w:fill="E7E7E2" w:val="clear"/>
            <w:vAlign w:val="center"/>
          </w:tcPr>
          <w:p>
            <w:pPr>
              <w:pStyle w:val="TableContents"/>
              <w:bidi w:val="0"/>
              <w:spacing w:before="0" w:after="283"/>
              <w:jc w:val="left"/>
              <w:rPr/>
            </w:pPr>
            <w:r>
              <w:rPr/>
              <w:t xml:space="preserve">Equity </w:t>
            </w:r>
          </w:p>
        </w:tc>
        <w:tc>
          <w:tcPr>
            <w:tcW w:w="1200" w:type="dxa"/>
            <w:tcBorders/>
            <w:shd w:fill="E7E7E2" w:val="clear"/>
            <w:vAlign w:val="center"/>
          </w:tcPr>
          <w:p>
            <w:pPr>
              <w:pStyle w:val="TableContents"/>
              <w:bidi w:val="0"/>
              <w:spacing w:before="0" w:after="283"/>
              <w:jc w:val="left"/>
              <w:rPr/>
            </w:pPr>
            <w:r>
              <w:rPr/>
              <w:t xml:space="preserve">Common Stock, $0.0001 par value per share, reserved for issuance pursuant to the 2023 Equity Incentive Plan </w:t>
            </w:r>
          </w:p>
        </w:tc>
        <w:tc>
          <w:tcPr>
            <w:tcW w:w="1289" w:type="dxa"/>
            <w:tcBorders/>
            <w:shd w:fill="E7E7E2" w:val="clear"/>
            <w:vAlign w:val="center"/>
          </w:tcPr>
          <w:p>
            <w:pPr>
              <w:pStyle w:val="TableContents"/>
              <w:bidi w:val="0"/>
              <w:spacing w:before="0" w:after="283"/>
              <w:jc w:val="center"/>
              <w:rPr/>
            </w:pPr>
            <w:r>
              <w:rPr/>
              <w:t xml:space="preserve">Other </w:t>
            </w:r>
          </w:p>
        </w:tc>
        <w:tc>
          <w:tcPr>
            <w:tcW w:w="1198" w:type="dxa"/>
            <w:tcBorders/>
            <w:shd w:fill="E7E7E2" w:val="clear"/>
            <w:vAlign w:val="center"/>
          </w:tcPr>
          <w:p>
            <w:pPr>
              <w:pStyle w:val="TableContents"/>
              <w:bidi w:val="0"/>
              <w:spacing w:before="0" w:after="283"/>
              <w:jc w:val="right"/>
              <w:rPr/>
            </w:pPr>
            <w:r>
              <w:rPr/>
              <w:t xml:space="preserve">1,654,374 </w:t>
            </w:r>
          </w:p>
        </w:tc>
        <w:tc>
          <w:tcPr>
            <w:tcW w:w="1201" w:type="dxa"/>
            <w:tcBorders/>
            <w:shd w:fill="E7E7E2" w:val="clear"/>
            <w:vAlign w:val="center"/>
          </w:tcPr>
          <w:p>
            <w:pPr>
              <w:pStyle w:val="TableContents"/>
              <w:bidi w:val="0"/>
              <w:spacing w:before="0" w:after="283"/>
              <w:jc w:val="right"/>
              <w:rPr/>
            </w:pPr>
            <w:r>
              <w:rPr/>
              <w:t xml:space="preserve">$ 1.91 </w:t>
            </w:r>
          </w:p>
        </w:tc>
        <w:tc>
          <w:tcPr>
            <w:tcW w:w="1575" w:type="dxa"/>
            <w:tcBorders/>
            <w:shd w:fill="E7E7E2" w:val="clear"/>
            <w:vAlign w:val="center"/>
          </w:tcPr>
          <w:p>
            <w:pPr>
              <w:pStyle w:val="TableContents"/>
              <w:bidi w:val="0"/>
              <w:spacing w:before="0" w:after="283"/>
              <w:jc w:val="right"/>
              <w:rPr/>
            </w:pPr>
            <w:r>
              <w:rPr/>
              <w:t xml:space="preserve">$ 3,159,854.34 </w:t>
            </w:r>
          </w:p>
        </w:tc>
        <w:tc>
          <w:tcPr>
            <w:tcW w:w="1126" w:type="dxa"/>
            <w:tcBorders/>
            <w:shd w:fill="E7E7E2" w:val="clear"/>
            <w:vAlign w:val="center"/>
          </w:tcPr>
          <w:p>
            <w:pPr>
              <w:pStyle w:val="TableContents"/>
              <w:bidi w:val="0"/>
              <w:spacing w:before="0" w:after="283"/>
              <w:jc w:val="right"/>
              <w:rPr/>
            </w:pPr>
            <w:r>
              <w:rPr/>
              <w:t xml:space="preserve">0.0001381 </w:t>
            </w:r>
          </w:p>
        </w:tc>
        <w:tc>
          <w:tcPr>
            <w:tcW w:w="1421" w:type="dxa"/>
            <w:tcBorders/>
            <w:shd w:fill="E7E7E2" w:val="clear"/>
            <w:vAlign w:val="center"/>
          </w:tcPr>
          <w:p>
            <w:pPr>
              <w:pStyle w:val="TableContents"/>
              <w:bidi w:val="0"/>
              <w:spacing w:before="0" w:after="283"/>
              <w:jc w:val="right"/>
              <w:rPr/>
            </w:pPr>
            <w:r>
              <w:rPr/>
              <w:t xml:space="preserve">$ 436.38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4" w:type="dxa"/>
            <w:tcBorders/>
            <w:shd w:fill="E7E7E2" w:val="clear"/>
            <w:vAlign w:val="center"/>
          </w:tcPr>
          <w:p>
            <w:pPr>
              <w:pStyle w:val="TableContents"/>
              <w:bidi w:val="0"/>
              <w:spacing w:before="0" w:after="283"/>
              <w:jc w:val="left"/>
              <w:rPr/>
            </w:pPr>
            <w:r>
              <w:rPr/>
              <w:t xml:space="preserve">Equity </w:t>
            </w:r>
          </w:p>
        </w:tc>
        <w:tc>
          <w:tcPr>
            <w:tcW w:w="1200" w:type="dxa"/>
            <w:tcBorders/>
            <w:shd w:fill="E7E7E2" w:val="clear"/>
            <w:vAlign w:val="center"/>
          </w:tcPr>
          <w:p>
            <w:pPr>
              <w:pStyle w:val="TableContents"/>
              <w:bidi w:val="0"/>
              <w:spacing w:before="0" w:after="283"/>
              <w:jc w:val="left"/>
              <w:rPr/>
            </w:pPr>
            <w:r>
              <w:rPr/>
              <w:t xml:space="preserve">Common Stock, $0.0001 par value per share, reserved for issuance pursuant to the 2023 Employee Stock Purchase Plan </w:t>
            </w:r>
          </w:p>
        </w:tc>
        <w:tc>
          <w:tcPr>
            <w:tcW w:w="1289" w:type="dxa"/>
            <w:tcBorders/>
            <w:shd w:fill="E7E7E2" w:val="clear"/>
            <w:vAlign w:val="center"/>
          </w:tcPr>
          <w:p>
            <w:pPr>
              <w:pStyle w:val="TableContents"/>
              <w:bidi w:val="0"/>
              <w:spacing w:before="0" w:after="283"/>
              <w:jc w:val="center"/>
              <w:rPr/>
            </w:pPr>
            <w:r>
              <w:rPr/>
              <w:t xml:space="preserve">Other </w:t>
            </w:r>
          </w:p>
        </w:tc>
        <w:tc>
          <w:tcPr>
            <w:tcW w:w="1198" w:type="dxa"/>
            <w:tcBorders/>
            <w:shd w:fill="E7E7E2" w:val="clear"/>
            <w:vAlign w:val="center"/>
          </w:tcPr>
          <w:p>
            <w:pPr>
              <w:pStyle w:val="TableContents"/>
              <w:bidi w:val="0"/>
              <w:spacing w:before="0" w:after="283"/>
              <w:jc w:val="right"/>
              <w:rPr/>
            </w:pPr>
            <w:r>
              <w:rPr/>
              <w:t xml:space="preserve">30,874 </w:t>
            </w:r>
          </w:p>
        </w:tc>
        <w:tc>
          <w:tcPr>
            <w:tcW w:w="1201" w:type="dxa"/>
            <w:tcBorders/>
            <w:shd w:fill="E7E7E2" w:val="clear"/>
            <w:vAlign w:val="center"/>
          </w:tcPr>
          <w:p>
            <w:pPr>
              <w:pStyle w:val="TableContents"/>
              <w:bidi w:val="0"/>
              <w:spacing w:before="0" w:after="283"/>
              <w:jc w:val="right"/>
              <w:rPr/>
            </w:pPr>
            <w:r>
              <w:rPr/>
              <w:t xml:space="preserve">$ 1.91 </w:t>
            </w:r>
          </w:p>
        </w:tc>
        <w:tc>
          <w:tcPr>
            <w:tcW w:w="1575" w:type="dxa"/>
            <w:tcBorders/>
            <w:shd w:fill="E7E7E2" w:val="clear"/>
            <w:vAlign w:val="center"/>
          </w:tcPr>
          <w:p>
            <w:pPr>
              <w:pStyle w:val="TableContents"/>
              <w:bidi w:val="0"/>
              <w:spacing w:before="0" w:after="283"/>
              <w:jc w:val="right"/>
              <w:rPr/>
            </w:pPr>
            <w:r>
              <w:rPr/>
              <w:t xml:space="preserve">$ 58,969.34 </w:t>
            </w:r>
          </w:p>
        </w:tc>
        <w:tc>
          <w:tcPr>
            <w:tcW w:w="1126" w:type="dxa"/>
            <w:tcBorders/>
            <w:shd w:fill="E7E7E2" w:val="clear"/>
            <w:vAlign w:val="center"/>
          </w:tcPr>
          <w:p>
            <w:pPr>
              <w:pStyle w:val="TableContents"/>
              <w:bidi w:val="0"/>
              <w:spacing w:before="0" w:after="283"/>
              <w:jc w:val="right"/>
              <w:rPr/>
            </w:pPr>
            <w:r>
              <w:rPr/>
              <w:t xml:space="preserve">0.0001381 </w:t>
            </w:r>
          </w:p>
        </w:tc>
        <w:tc>
          <w:tcPr>
            <w:tcW w:w="1421" w:type="dxa"/>
            <w:tcBorders/>
            <w:shd w:fill="E7E7E2" w:val="clear"/>
            <w:vAlign w:val="center"/>
          </w:tcPr>
          <w:p>
            <w:pPr>
              <w:pStyle w:val="TableContents"/>
              <w:bidi w:val="0"/>
              <w:spacing w:before="0" w:after="283"/>
              <w:jc w:val="right"/>
              <w:rPr/>
            </w:pPr>
            <w:r>
              <w:rPr/>
              <w:t xml:space="preserve">$ 8.14 </w:t>
            </w:r>
          </w:p>
        </w:tc>
      </w:tr>
      <w:tr>
        <w:trPr/>
        <w:tc>
          <w:tcPr>
            <w:tcW w:w="4882" w:type="dxa"/>
            <w:gridSpan w:val="5"/>
            <w:tcBorders/>
            <w:vAlign w:val="center"/>
          </w:tcPr>
          <w:p>
            <w:pPr>
              <w:pStyle w:val="TableContents"/>
              <w:bidi w:val="0"/>
              <w:spacing w:before="0" w:after="0"/>
              <w:ind w:left="0" w:right="0" w:hanging="0"/>
              <w:jc w:val="right"/>
              <w:rPr/>
            </w:pPr>
            <w:r>
              <w:rPr/>
              <w:t>Total Offering Amounts:</w:t>
            </w:r>
          </w:p>
        </w:tc>
        <w:tc>
          <w:tcPr>
            <w:tcW w:w="120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0"/>
              <w:ind w:left="0" w:right="0" w:hanging="0"/>
              <w:jc w:val="right"/>
              <w:rPr/>
            </w:pPr>
            <w:bookmarkStart w:id="11" w:name="MaxAggtOfferingPrice"/>
            <w:bookmarkEnd w:id="11"/>
            <w:r>
              <w:rPr/>
              <w:t xml:space="preserve">$ 3,218,823.68 </w:t>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$ 444.52 </w:t>
            </w:r>
          </w:p>
        </w:tc>
      </w:tr>
      <w:tr>
        <w:trPr/>
        <w:tc>
          <w:tcPr>
            <w:tcW w:w="4882" w:type="dxa"/>
            <w:gridSpan w:val="5"/>
            <w:tcBorders/>
            <w:vAlign w:val="center"/>
          </w:tcPr>
          <w:p>
            <w:pPr>
              <w:pStyle w:val="TableContents"/>
              <w:bidi w:val="0"/>
              <w:spacing w:before="0" w:after="0"/>
              <w:ind w:left="0" w:right="0" w:hanging="0"/>
              <w:jc w:val="right"/>
              <w:rPr/>
            </w:pPr>
            <w:r>
              <w:rPr/>
              <w:t xml:space="preserve">Total Fee Offsets: </w:t>
            </w:r>
          </w:p>
        </w:tc>
        <w:tc>
          <w:tcPr>
            <w:tcW w:w="120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882" w:type="dxa"/>
            <w:gridSpan w:val="5"/>
            <w:tcBorders/>
            <w:vAlign w:val="center"/>
          </w:tcPr>
          <w:p>
            <w:pPr>
              <w:pStyle w:val="TableContents"/>
              <w:bidi w:val="0"/>
              <w:spacing w:before="0" w:after="0"/>
              <w:ind w:left="0" w:right="0" w:hanging="0"/>
              <w:jc w:val="right"/>
              <w:rPr/>
            </w:pPr>
            <w:r>
              <w:rPr/>
              <w:t xml:space="preserve">Net Fee Due: </w:t>
            </w:r>
          </w:p>
        </w:tc>
        <w:tc>
          <w:tcPr>
            <w:tcW w:w="120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0"/>
              <w:ind w:left="0" w:right="0" w:hanging="0"/>
              <w:jc w:val="right"/>
              <w:rPr/>
            </w:pPr>
            <w:bookmarkStart w:id="14" w:name="NetFeeAmt"/>
            <w:bookmarkEnd w:id="14"/>
            <w:r>
              <w:rPr/>
              <w:t xml:space="preserve">$ 444.52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amount registered represents (i) an additional 1,500,000 shares of Common Stock ("Common Stock") of CalciMedica, Inc. (the "Registrant") authorized for issuance under the 2023 Equity Incentive Plan (the "2023 Plan") pursuant to an amendment to such plan that was approved by the Registrant's stockholders on August 19, 2026 and (ii) 154,374 shares of Common Stock that were automatically added to the shares authorized for issuance under the 2023 Plan on January 1, 2026, after giving effect to the 1-to-5 reverse stock split effected by the Registrant on August 27, 2026 (the "Reverse Stock Split"), pursuant to an "evergreen" provision contained in the 2023 Plan. Pursuant to such provision, on January 1st of each year through (and including) January 1, 2033, the number of shares authorized for issuance under the 2023 Plan will be automatically increased by the lesser of (a) 5% of the total number of shares of capital stock of the Registrant outstanding on December 31 of the preceding calendar year or (b) such lesser number of shares of Common Stock as the Registrant's board of directors (the "Board") may designate prior to the applicable January 1st. Pursuant to Rule 416(a) under the Securities Act of 1933, as amended (the "Securities Act"), this Registration Statement shall also cover any additional shares of Common Stock of the Registrant that become issuable under the 2023 Plan by reason of any stock dividend, stock split, recapitalization or other similar transaction. The proposed maximum offering price per share and maximum aggregate offering price are estimated solely for the purpose of calculating the amount of the registration fee pursuant to Rule 457(c) and Rule 457(h) of the Securities Act using the average of the high and low prices of the Common Stock as reported on the Nasdaq Capital Market on September 21,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The amount registered represents 30,874 shares of Common Stock that were automatically added to the shares authorized for issuance under the 2023 Employee Stock Purchase Plan (the "ESPP") on January 1, 2026, after giving effect to the Reverse Stock Split, pursuant to an "evergreen" provision contained in the ESPP. Pursuant to such provision, on January 1st of each year through (and including) January 1, 2033, the number of shares authorized for issuance under the ESPP will be automatically increased by the lesser of (a) 1% of the total number of shares of capital stock of the Registrant outstanding on December 31 of the preceding calendar year; (b) 39,000 shares; or (c) such lesser number of shares of Common Stock as the Board may designate prior to the applicable January 1st. Pursuant to Rule 416(a) under the Securities Act of 1933, as amended (the "Securities Act"), this Registration Statement shall also cover any additional shares of Common Stock of the Registrant that become issuable under the ESPP by reason of any stock dividend, stock split, recapitalization or other similar transaction. The proposed maximum offering price per share and maximum aggregate offering price are estimated solely for the purpose of calculating the amount of the registration fee pursuant to Rule 457(c) and Rule 457(h) of the Securities Act using the average of the high and low prices of the Common Stock as reported on the Nasdaq Capital Market on September 21,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4133/000119312523143616/d432271ds8.htm" TargetMode="External"/><Relationship Id="rId3" Type="http://schemas.openxmlformats.org/officeDocument/2006/relationships/hyperlink" Target="http://www.sec.gov/Archives/edgar/data/1534133/000119312524080792/d779976ds8.htm" TargetMode="External"/><Relationship Id="rId4" Type="http://schemas.openxmlformats.org/officeDocument/2006/relationships/hyperlink" Target="http://www.sec.gov/Archives/edgar/data/1534133/000119312525145764/d949209ds8.htm" TargetMode="External"/><Relationship Id="rId5" Type="http://schemas.openxmlformats.org/officeDocument/2006/relationships/hyperlink" Target="http://www.sec.gov/Archives/edgar/data/1534133/000119312525151240/d917898ds8pos.htm" TargetMode="External"/><Relationship Id="rId6" Type="http://schemas.openxmlformats.org/officeDocument/2006/relationships/hyperlink" Target="http://www.sec.gov/Archives/edgar/data/1534133/000119312524207811/d785253ds8.htm" TargetMode="External"/><Relationship Id="rId7" Type="http://schemas.openxmlformats.org/officeDocument/2006/relationships/hyperlink" Target="http://www.sec.gov/Archives/edgar/data/1534133/000119312523076714/d485425dex31.htm" TargetMode="External"/><Relationship Id="rId8" Type="http://schemas.openxmlformats.org/officeDocument/2006/relationships/hyperlink" Target="http://www.sec.gov/Archives/edgar/data/1534133/000119312523076714/d485425dex32.htm" TargetMode="External"/><Relationship Id="rId9" Type="http://schemas.openxmlformats.org/officeDocument/2006/relationships/hyperlink" Target="http://www.sec.gov/Archives/edgar/data/0001534133/000119312526369713/d165361dex31.htm" TargetMode="External"/><Relationship Id="rId10" Type="http://schemas.openxmlformats.org/officeDocument/2006/relationships/hyperlink" Target="http://www.sec.gov/Archives/edgar/data/1534133/000156459020053539/gray-ex32_105.htm" TargetMode="External"/><Relationship Id="rId11" Type="http://schemas.openxmlformats.org/officeDocument/2006/relationships/hyperlink" Target="http://www.sec.gov/Archives/edgar/data/1534133/000119312526357258/d434771dex101.htm" TargetMode="External"/><Relationship Id="rId12" Type="http://schemas.openxmlformats.org/officeDocument/2006/relationships/hyperlink" Target="http://www.sec.gov/Archives/edgar/data/1534133/000119312523076714/d485425dex107.htm" TargetMode="External"/><Relationship Id="rId13" Type="http://schemas.openxmlformats.org/officeDocument/2006/relationships/hyperlink" Target="http://www.sec.gov/Archives/edgar/data/1534133/000119312523076714/d485425dex108.htm" TargetMode="External"/><Relationship Id="rId14" Type="http://schemas.openxmlformats.org/officeDocument/2006/relationships/hyperlink" Target="http://www.sec.gov/Archives/edgar/data/1534133/000095017023021775/calc-ex10_9.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2706</Words>
  <Characters>14470</Characters>
  <CharactersWithSpaces>17193</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