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April 26, 2023</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CalciMedica,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60" w:type="dxa"/>
            <w:vAlign w:val="bottom"/>
          </w:tcPr>
          <w:p>
            <w:pPr>
              <w:jc w:val="center"/>
              <w:ind w:right="1939"/>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ind w:left="520"/>
              <w:spacing w:after="0"/>
              <w:rPr>
                <w:sz w:val="20"/>
                <w:szCs w:val="20"/>
                <w:color w:val="auto"/>
              </w:rPr>
            </w:pPr>
            <w:r>
              <w:rPr>
                <w:rFonts w:ascii="Arial" w:cs="Arial" w:eastAsia="Arial" w:hAnsi="Arial"/>
                <w:sz w:val="18"/>
                <w:szCs w:val="18"/>
                <w:b w:val="1"/>
                <w:bCs w:val="1"/>
                <w:color w:val="auto"/>
              </w:rPr>
              <w:t>001-39538</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45-2120079</w:t>
            </w:r>
          </w:p>
        </w:tc>
      </w:tr>
      <w:tr>
        <w:trPr>
          <w:trHeight w:val="148"/>
        </w:trPr>
        <w:tc>
          <w:tcPr>
            <w:tcW w:w="366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6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of incorporation)</w:t>
            </w:r>
          </w:p>
        </w:tc>
        <w:tc>
          <w:tcPr>
            <w:tcW w:w="2660" w:type="dxa"/>
            <w:vAlign w:val="bottom"/>
          </w:tcPr>
          <w:p>
            <w:pPr>
              <w:ind w:left="5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660" w:type="dxa"/>
            <w:vAlign w:val="bottom"/>
          </w:tcPr>
          <w:p>
            <w:pPr>
              <w:jc w:val="center"/>
              <w:ind w:right="199"/>
              <w:spacing w:after="0"/>
              <w:rPr>
                <w:sz w:val="20"/>
                <w:szCs w:val="20"/>
                <w:color w:val="auto"/>
              </w:rPr>
            </w:pPr>
            <w:r>
              <w:rPr>
                <w:rFonts w:ascii="Arial" w:cs="Arial" w:eastAsia="Arial" w:hAnsi="Arial"/>
                <w:sz w:val="18"/>
                <w:szCs w:val="18"/>
                <w:b w:val="1"/>
                <w:bCs w:val="1"/>
                <w:color w:val="auto"/>
                <w:w w:val="89"/>
              </w:rPr>
              <w:t>505 Coast Boulevard South, Suite 307</w:t>
            </w:r>
          </w:p>
        </w:tc>
        <w:tc>
          <w:tcPr>
            <w:tcW w:w="26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660" w:type="dxa"/>
            <w:vAlign w:val="bottom"/>
          </w:tcPr>
          <w:p>
            <w:pPr>
              <w:jc w:val="center"/>
              <w:ind w:right="199"/>
              <w:spacing w:after="0"/>
              <w:rPr>
                <w:sz w:val="20"/>
                <w:szCs w:val="20"/>
                <w:color w:val="auto"/>
              </w:rPr>
            </w:pPr>
            <w:r>
              <w:rPr>
                <w:rFonts w:ascii="Arial" w:cs="Arial" w:eastAsia="Arial" w:hAnsi="Arial"/>
                <w:sz w:val="18"/>
                <w:szCs w:val="18"/>
                <w:b w:val="1"/>
                <w:bCs w:val="1"/>
                <w:color w:val="auto"/>
                <w:w w:val="93"/>
              </w:rPr>
              <w:t>La Jolla, California</w:t>
            </w:r>
          </w:p>
        </w:tc>
        <w:tc>
          <w:tcPr>
            <w:tcW w:w="2660" w:type="dxa"/>
            <w:vAlign w:val="bottom"/>
          </w:tcPr>
          <w:p>
            <w:pPr>
              <w:spacing w:after="0"/>
              <w:rPr>
                <w:sz w:val="19"/>
                <w:szCs w:val="19"/>
                <w:color w:val="auto"/>
              </w:rPr>
            </w:pP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92037</w:t>
            </w:r>
          </w:p>
        </w:tc>
      </w:tr>
      <w:tr>
        <w:trPr>
          <w:trHeight w:val="186"/>
        </w:trPr>
        <w:tc>
          <w:tcPr>
            <w:tcW w:w="366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spacing w:after="0"/>
              <w:rPr>
                <w:sz w:val="16"/>
                <w:szCs w:val="16"/>
                <w:color w:val="auto"/>
              </w:rPr>
            </w:pPr>
          </w:p>
        </w:tc>
        <w:tc>
          <w:tcPr>
            <w:tcW w:w="2460" w:type="dxa"/>
            <w:vAlign w:val="bottom"/>
          </w:tcPr>
          <w:p>
            <w:pPr>
              <w:ind w:left="1540"/>
              <w:spacing w:after="0"/>
              <w:rPr>
                <w:sz w:val="20"/>
                <w:szCs w:val="20"/>
                <w:color w:val="auto"/>
              </w:rPr>
            </w:pPr>
            <w:r>
              <w:rPr>
                <w:rFonts w:ascii="Arial" w:cs="Arial" w:eastAsia="Arial" w:hAnsi="Arial"/>
                <w:sz w:val="14"/>
                <w:szCs w:val="14"/>
                <w:b w:val="1"/>
                <w:bCs w:val="1"/>
                <w:color w:val="auto"/>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(858) 952-5500</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CALC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spacing w:after="0"/>
        <w:rPr>
          <w:sz w:val="20"/>
          <w:szCs w:val="20"/>
          <w:color w:val="auto"/>
        </w:rPr>
      </w:pPr>
      <w:r>
        <w:rPr>
          <w:rFonts w:ascii="Arial" w:cs="Arial" w:eastAsia="Arial" w:hAnsi="Arial"/>
          <w:sz w:val="18"/>
          <w:szCs w:val="18"/>
          <w:color w:val="auto"/>
        </w:rPr>
        <w:t>*  The registrant’s common stock began trading on the OTCQB on April 26, 2023 under the symbol “CALC.”</w:t>
      </w:r>
    </w:p>
    <w:p>
      <w:pPr>
        <w:spacing w:after="0" w:line="158"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Continued Listing Standards; Transfer of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Listing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disclosed on the Current Report on Form 8-K of CalciMedica, Inc. (the “Company”) filed on March 22, 2023 with the Securities and Exchange Commission (“SEC”), on March 21, 2023, the Company received written notice from the Staff of the Listing Qualifications Department (the “Staff”) of The Nasdaq Stock Market LLC (“Nasdaq”) stating that the Staff had determined that the Company had not complied with the requirements of Nasdaq Listing Rule 5110(a) because the Company did not demonstrate compliance with all of the requirements for initial listing on Nasdaq concurrent with closing the merger transaction (the “Delist Determination”).</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had appealed the Staff’s Delist Determination by requesting a hearing before a Hearings Panel pursuant to the procedures set forth in the Nasdaq Listing Rule 5800 Series. Notwithstanding the appeal, the trading suspension was implemented at the open of the market on March 31, 2023, and the Company’s common stock began trading on the Pink Current Information tier of the over-the-counter market on April 3, 2023. On April 26, 2023, the Company’s common stock was upgraded to the OTCQB tier of the over-the-counter market. On May 1, 2023, the Company withdrew its request for an appeal of the Staff’s Delist Determination and received a notice from Nasdaq stating that Nasdaq will file a Form 25 Notification of Delisting with the SEC when all internal procedural periods have run.</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an initial listing application on file for the listing of the Company’s shares of common stock on Nasdaq and the Company intends to continue to work diligently to satisfy the initial listing requirements and to seek a listing as soon as possible on the Nasdaq Capital Market.</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OTCQB Listing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26, 2023, the Company’s common stock was upgraded to the OTCQB tier of the over-the-counter market, which, among other things, provides Real Time Level 2 quotes.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Current Report on Form 8-K contains forward-looking statements which include, but are not limited to, the Company’s ability to satisfy the Nasdaq listing requirements and list its shares of common stock on Nasdaq. These forward-looking statements are subject to the safe harbor provisions under the Private Securities Litigation Reform Act of 1995. The Company’s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ability of the Company to satisfy the Nasdaq listing requirements; declines in the trading price of the Company’s common stock as a result of its trading suspension or delisting from Nasdaq; and the impact of fluctuations in global financial markets on the Company’s business and the actions the Company may take in response thereto. Additional risks and uncertainties that could cause actual outcomes and results to differ materially from those contemplated by the forward-looking statements are included under the caption “Risk Factors” and elsewhere in the Company’s most recent filings with the SEC, including its definitive proxy statement filed with the SEC on February 9, 2023, its Annual Report on Form 10-K for the year ended December 31, 2022 and any subsequent reports on Form 10-K, Form 10-Q or Form 8-K filed with the SEC from time to time.</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forward-looking statements included in this Current Report on Form 8-K are made only as of the date hereof. The Company assumes no obligation and does not intend to update these forward-looking statements, except as required by law.</w:t>
      </w:r>
    </w:p>
    <w:p>
      <w:pPr>
        <w:sectPr>
          <w:pgSz w:w="11900" w:h="16838" w:orient="portrait"/>
          <w:cols w:equalWidth="0" w:num="1">
            <w:col w:w="11000"/>
          </w:cols>
          <w:pgMar w:left="440" w:top="297"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May 5, 2023</w:t>
      </w:r>
      <w:r>
        <w:rPr>
          <w:sz w:val="20"/>
          <w:szCs w:val="20"/>
          <w:color w:val="auto"/>
        </w:rPr>
        <w:tab/>
      </w:r>
      <w:r>
        <w:rPr>
          <w:rFonts w:ascii="Arial" w:cs="Arial" w:eastAsia="Arial" w:hAnsi="Arial"/>
          <w:sz w:val="16"/>
          <w:szCs w:val="16"/>
          <w:b w:val="1"/>
          <w:bCs w:val="1"/>
          <w:color w:val="auto"/>
        </w:rPr>
        <w:t>CalciMedica, Inc.</w:t>
      </w:r>
    </w:p>
    <w:p>
      <w:pPr>
        <w:spacing w:after="0" w:line="22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 Rachel Leheny,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 Rachel Leheny, Ph.D.</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940"/>
      </w:cols>
      <w:pgMar w:left="440" w:top="29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2023-05-05T15:21:06Z</dcterms:created>
  <dcterms:modified xsi:type="dcterms:W3CDTF">2023-05-05T15:21:06Z</dcterms:modified>
</cp:coreProperties>
</file>