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5394d424b5.htm"/>
        <w:bookmarkStart w:id="1" w:name="ksd145394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333-293972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sz w:val="20"/>
        </w:rPr>
      </w:pPr>
      <w:r>
        <w:rPr>
          <w:rFonts w:ascii="Times New Roman" w:hAnsi="Times New Roman"/>
          <w:sz w:val="20"/>
        </w:rPr>
        <w:t xml:space="preserve">(To Prospectus Dated March 11,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3092450" cy="614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92450" cy="6140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Up to $25,000,000 of Shares of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previously entered into an at the market offering agreement (the “Offering Agreement”), with H.C. Wainwright &amp; Co., LLC (“Wainwright”), relating to shares of our common stock, par value $0.0001 per share, offered by this prospectus supplement and the accompanying prospectus. In accordance with the terms of the Offering Agreement, from time to time we may offer and sell shares of our common stock having an aggregate gross sales price of up to $25,000,000 through Wainwright, acting as sales agent.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Capital Market (“Nasdaq”) under the trading symbol “CALC.” On September 28, 2026, the last reported sale price of our common stock was $1.695 per share. </w:t>
      </w:r>
    </w:p>
    <w:p>
      <w:pPr>
        <w:pStyle w:val="TextBody"/>
        <w:bidi w:val="0"/>
        <w:spacing w:before="240" w:after="0"/>
        <w:jc w:val="left"/>
        <w:rPr>
          <w:rFonts w:ascii="Times New Roman" w:hAnsi="Times New Roman"/>
          <w:sz w:val="20"/>
        </w:rPr>
      </w:pPr>
      <w:r>
        <w:rPr>
          <w:rFonts w:ascii="Times New Roman" w:hAnsi="Times New Roman"/>
          <w:sz w:val="20"/>
        </w:rPr>
        <w:t xml:space="preserve">Sales of our common stock, if any, under this prospectus supplement may be made in sales deemed to be “at the market offerings” as defined in Rule 415(a)(4) promulgated under the Securities Act of 1933, as amended (the “Securities Act”), including sales made directly on or through Nasdaq, or any other existing trading market in the United States for our common stock, sales made to or through a market maker other than on an exchange or otherwise, directly to Wainwright as principal, in negotiated transactions at market prices prevailing at the time of sale or at prices related to such prevailing market prices and/or in any other method permitted by law. Wainwright is not required to sell any specific number or dollar amount of securities, but it will act as a sales agent using commercially reasonable efforts consistent with its normal trading and sales practices, on mutually agreed terms between Wainwright and us. There is no arrangement for funds to be received in any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Wainwright will be entitled to compensation at a fixed commission rate of 3.0% of the gross sales price per share sold. In connection with the sale of our common stock on our behalf, Wainwright may be deemed to be an “underwriter” within the meaning of the Securities Act and the compensation of Wainwright may be deemed to be underwriting commissions or discounts. We have also agreed to provide indemnification and contributions to Wainwright against certain civil liabilities, including liabilities under the Securities Act or the Securities Exchange Act of 1934, as amended (the “Exchange Act”).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Before making an investment decision, please read the information under the heading “</w:t>
      </w:r>
      <w:hyperlink w:anchor="supptx145394_3">
        <w:r>
          <w:rPr>
            <w:rStyle w:val="InternetLink"/>
            <w:rFonts w:ascii="Times New Roman" w:hAnsi="Times New Roman"/>
            <w:b/>
            <w:sz w:val="24"/>
          </w:rPr>
          <w:t>Risk Factors</w:t>
        </w:r>
      </w:hyperlink>
      <w:r>
        <w:rPr>
          <w:rFonts w:ascii="Times New Roman" w:hAnsi="Times New Roman"/>
          <w:b/>
          <w:sz w:val="24"/>
        </w:rPr>
        <w:t xml:space="preserve">” beginning on page S-5 of this prospectus supplement and under similar headings in the other documents that are incorporated by reference into this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H.C. Wainwright &amp; Co.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September 30,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5394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5394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5394_3">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5394_4">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5394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5394_6">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5394_7">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5394_8">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5394_9">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5394_10">
              <w:r>
                <w:rPr>
                  <w:rStyle w:val="InternetLink"/>
                  <w:rFonts w:ascii="Times New Roman" w:hAnsi="Times New Roman"/>
                  <w:sz w:val="20"/>
                </w:rPr>
                <w:t>WHERE YOU CAN FIND ADDITIONAL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5394_11">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ACCOMPANYING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5394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5394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5394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5394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5394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5394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5394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5394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5394_9">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5394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5394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5394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5394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5394_14">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145394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“shelf” registration statement on Form S-3 (File No. 333-293972) that we filed with the Securities and Exchange Commission (the “SEC”) on March 3, 2026, which was declared effective by the SEC on March 11, 2026. This document is in two parts. The first part of this prospectus supplement, which describes the terms of this offering of common stock and also adds to and updates information contained in the accompanying prospectus and the documents incorporated by reference into this prospectus supplement and accompanying prospectus. The second part, the accompanying prospectus, including the documents incorporated by reference therein, provides more general information. We may sell any combination of the securities described in the accompanying prospectus in one or more offerings up to a total aggregate offering price of $125,000,000. The $25,000,000 of common stock that may be offered, issued and sold under this prospectus supplement is included in the $125,000,000 of securities that may be offered, issued and sold by us pursuant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Generally, when we refer to this prospectus, we are referring to both parts of this document combined. We provide information to you about this offering of shares of our common stock in this prospectus supplement, which describes the details regarding this offering. If information in this prospectus supplement is inconsistent with the information contained in the accompanying prospectus or in any documents incorporated by reference in this prospectus supplement filed prior to the date of this prospectus supplement, you should rely on this prospectus supplement. However, if any statement in one of these documents is inconsistent with a statement in another document having a later date — for example, a document incorporated by reference in this prospectus supplement or the accompanying prospectus — the statement in the document having the later date modifies or supersedes the earlier statement as our business, financial condition, results of operations and prospects may have changed since the earlier dates.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into, this prospectus supplement, the accompanying prospectus and in any free writing prospectus that we may authorize for use in connection with this offering. We have not, and Wainwright has not, authorized any other person to provide you with different information. If anyone provides you with different or inconsistent information, you should not rely on it. We are not, and Wainwright is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supplement and the accompanying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into this prospectus supplement and the accompanying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entitled “Where You Can Find Additional Information” and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our common stock only in jurisdictions where offers and sales are permitted. The distribution of this prospectus supplement and accompanying prospectus and the offering of the shares of our common stock in certain jurisdictions may be restricted by law. Persons outside the United States who come into possession of this prospectus supplement and the accompanying prospectus must inform themselves about, and observe any restrictions relating to, the offering of the shares of our common stock and the distribution of this prospectus supplement and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x145394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supplement or incorporated by reference in this prospectus supplement, and does not contain all of the information that you need to consider in making your investment decision. You should carefully read the entire prospectus supplement, the accompanying prospectus and any related free writing prospectus, including the risks of investing in our securities discussed under the heading “Risk Factors” contained in this prospectus supplement and any related free writing prospectus, and under similar headings in the other documents that are incorporated by reference into this prospectus supplement. You should also carefully read the information incorporated by reference into this prospectus supplement, including our financial statements, and the exhibits to the registration statement of which this prospectus supplement is a part. Unless the context requires otherwise, references in this prospectus supplement to “CalciMedica,” “we,” “us,” “the Company” and “our” refer to CalciMedica, Inc.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developing therapeutics for serious acute and chronic inflammatory, immunologic and cardiopulmonary diseases. Our product candidates target calcium release-activated calcium (“CRAC”) channels and, if approved, would represent a new class of therapeutics.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pipeline includes Auxora, a potent and selective small-molecule CRAC channel inhibitor formulated for intravenous administration whose active compound is zegocractin (formerly CM4620), and CM5480, a proprietary, selective oral small-molecule CRAC channel inhibitor. Auxora has been evaluated in multiple Phase 2 clinical trials in acute and critical-care settings, including acute pancreatitis (“AP”), severe COVID-19 pneumonia, pediatric asparaginase-induced pancreatic toxicity, and acute kidney injury (“AKI”). Following feedback from the U.S. Food and Drug Administration (“FDA”) in July 2026, we are advancing preparations for a potential Phase 2b clinical trial evaluating Auxora in AP, which is intended to inform the design of a potential Phase 3 development program. We also plan to evaluate Auxora in a Phase 1b proof-of-concept study in patients with pulmonary arterial hypertension (“PAH”), with data expected in mid-2027.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CM5480 is being developed as a potential chronic oral therapy for pulmonary hypertension, including pulmonary arterial hypertension and combined pre- and post-capillary pulmonary hypertension associated with heart failure with preserved ejection fraction. We expect to submit an investigational new drug application for CM5480 in mid-2027. Through our pulmonary hypertension program, we aim to establish CRAC channel inhibition as a differentiated therapeutic approach targeting both pulmonary vascular remodeling and right ventricular dysfunction.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also continue selective research activities to evaluate CRAC channel inhibition in other inflammatory, immunologic and cardiopulmonary indications.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Effective at 5:00 p.m. Eastern Time on August 28, 2026, we effected a reverse stock split of our outstanding shares of common stock at a ratio of 1-for-5 (the “Reverse Stock Split”). Except as otherwise stated, the information in this prospectus supplement gives retroactive effect to the Reverse Stock Split; however the accompanying prospectus and any documents incorporated by reference herein and therein, except as otherwise stated, have not been amended or adjusted to reflect the Reverse Stock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February 2015, upon conversion of Graybug LLC, which was organized in May 2011. Our principal executive offices are located at 505 Coast Boulevard South, Suite 300-9, La Jolla, California 92037, and our telephone number is (858) 952-5500. Our corporate website address is https://calcimedica.com. Information contained on or accessible through our website is not a part of this prospectus supplement, the accompanying prospectus or any related free writing prospectus, and the inclusion of our website address in this prospectus supplement is an inactive textual reference only.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supplement, the accompanying prospectus and the information incorporated herein and therein by reference contain references to our trademarks and to trademarks belonging to other entities. Solely for convenience, trademarks and trade names referred to in this prospectus supplement, including logos, artwork and other visual displays, may appear without the ® or TM symbols, but such references are not intended to indicate, in any way, that their respective owners will not assert, to the fullest extent under applicable law, their rights thereto.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do not intend our use or display of other companies’ trade names or trademarks to imply a relationship with, or endorsement or sponsorship of us by, any other companies.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the Exchange Act. We may take advantage of certain of the scaled disclosures available to smaller reporting companies, including, among other things, providing only two years of audited financial statements in our Annual Report on Form 10-K, not being required to comply with the auditor attestation requirements of Section 404 of the Sarbanes-Oxley Act and having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8" w:type="dxa"/>
            <w:tcBorders/>
          </w:tcPr>
          <w:p>
            <w:pPr>
              <w:pStyle w:val="TableContents"/>
              <w:bidi w:val="0"/>
              <w:spacing w:before="0" w:after="283"/>
              <w:jc w:val="left"/>
              <w:rPr/>
            </w:pPr>
            <w:r>
              <w:rPr/>
              <w:t xml:space="preserve">Shares of our common stock having an aggregate offering price of up to $25,000,000.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6329" w:type="dxa"/>
            <w:tcBorders/>
          </w:tcPr>
          <w:p>
            <w:pPr>
              <w:pStyle w:val="TableContents"/>
              <w:bidi w:val="0"/>
              <w:spacing w:before="0" w:after="283"/>
              <w:jc w:val="left"/>
              <w:rPr/>
            </w:pPr>
            <w:r>
              <w:rPr/>
              <w:t xml:space="preserve">Up to 20,896,508 shares (as more fully described in the notes following this table), assuming sales of 14,749,262 shares of our common stock in this offering at an offering price of $1.695 per share, which was the last reported sale price of our common stock on the Nasdaq Capital Market on September 28, 2026. The actual number of shares issued will vary depending on the sales price under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Manner of offering: </w:t>
            </w:r>
          </w:p>
        </w:tc>
        <w:tc>
          <w:tcPr>
            <w:tcW w:w="6327" w:type="dxa"/>
            <w:tcBorders/>
          </w:tcPr>
          <w:p>
            <w:pPr>
              <w:pStyle w:val="TableContents"/>
              <w:bidi w:val="0"/>
              <w:spacing w:before="0" w:after="283"/>
              <w:jc w:val="left"/>
              <w:rPr/>
            </w:pPr>
            <w:r>
              <w:rPr/>
              <w:t>“</w:t>
            </w:r>
            <w:r>
              <w:rPr/>
              <w:t xml:space="preserve">At the market offering” that may be made from time to time through our sales agent, Wainwright.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6" w:type="dxa"/>
            <w:tcBorders/>
          </w:tcPr>
          <w:p>
            <w:pPr>
              <w:pStyle w:val="TableContents"/>
              <w:bidi w:val="0"/>
              <w:spacing w:before="0" w:after="283"/>
              <w:jc w:val="left"/>
              <w:rPr/>
            </w:pPr>
            <w:r>
              <w:rPr/>
              <w:t xml:space="preserve">We intend to use the net proceeds from this offering for general corporate purposes, which may include research and development expenses, clinical trial expenses, capital expenditures and working capital.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You should read the “Risk Factors” section of this prospectus supplement and in the documents incorporated by reference in this prospectus supplement for a discussion of factors to consider before deciding to purchase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Capital Market symbol: </w:t>
            </w:r>
          </w:p>
        </w:tc>
        <w:tc>
          <w:tcPr>
            <w:tcW w:w="6329" w:type="dxa"/>
            <w:tcBorders/>
          </w:tcPr>
          <w:p>
            <w:pPr>
              <w:pStyle w:val="TableContents"/>
              <w:bidi w:val="0"/>
              <w:spacing w:before="0" w:after="283"/>
              <w:jc w:val="left"/>
              <w:rPr/>
            </w:pPr>
            <w:r>
              <w:rPr/>
              <w:t>“</w:t>
            </w:r>
            <w:r>
              <w:rPr/>
              <w:t xml:space="preserve">CALC”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our shares of common stock to be outstanding after this offering is based on 6,147,246 shares of common stock outstanding as of June 30, 2026, after giving retroactive effect to the Reverse Stock Split and excludes the following, which were also retroactively adjusted for the Reverse Stock Split as of June 30, 2026: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747,011 shares of common stock issuable upon the exercise of outstanding pre-funded common stock warrants at an exercise price of $0.0005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937,454 shares issuable upon the exercise of outstanding warrants at a weighted average exercise price of $30.02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1,113,716 shares of common stock issuable upon the exercise of outstanding stock options at a weighted-average exercise price of $17.20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 shares of common stock issuable upon the exercise of outstanding restricted stock units;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15,987 additional shares of common stock reserved for future issuance under our equity incentive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82,347 additional shares reserved for future issuance under our employee stock purchase plan.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assumes no exercise of outstanding warrants or options and no vesting or settlement of outstanding restricted stock units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145394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You should carefully review the risks and uncertainties described below and under the section titled “Risk Factors” in our Annual Report on Form 10-K for the year ended December 31, 2025, as updated by our quarterly, annual and other reports and documents that we have filed or subsequently file that are incorporated by reference into this prospectus supplement, before deciding whether to purchase any common stock in this offering. Each of the risk factors could adversely affect our business, operating results and financial condition, as well as adversely affect the value of an investment in our common stock,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shares of our common stock in this offering, you will experience immediate and substantial dilution in the net tangible book value of your shares. In addition, we may issue additional equity or convertible debt securities in the future, which may result in additional dilution to you.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in this offering may exceed the net tangible book value per share of our common stock outstanding prior to this offering. Assuming that an aggregate of 14,749,262 shares of our common stock are sold at a price of $1.695 per share, the last reported sale price of our common stock on the Nasdaq Capital Market on September 28, 2026, for aggregate gross proceeds of $25,000,000 and after deducting commissions and estimated offering expenses payable by us, you would experience immediate dilution of $0.285 per share, representing the difference between our as adjusted net tangible book value per share as of June 30, 2026 (after giving retroactive effect to the Reverse Stock Split) after giving effect to this offering and the assumed offering price. The exercise of outstanding stock options and warrants would result in further dilution of your investment. See the section titled “Dilution” below for a more detailed illustration of the dilution you would incur if you participate in this offering. Because the sales of the shares offered hereby will be made directly into the market or in negotiated transactions, the prices at which we sell these shares will vary and these variations may be significant. Purchasers of the shares we sell, as well as our existing stockholders, will experience significant dilution if we sell shares at prices significantly below the price at which they invested.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might apply the net proceeds from this offering in ways with which you do not agree and in ways that may impair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currently intend to use the net proceeds from this offering for general corporate purposes, which may include research and development expenses, clinical trial expenses, capital expenditures and working capital. We may also use a portion of the net proceeds to in-license, invest in or acquire businesses, assets or technologies that we believe are complementary to our own, although we have no current plans, commitments or agreements with respect to any acquisitions. Pending these uses, we may temporarily invest the net proceeds of any offering under this prospectus in short- and intermediate-term, interest-bearing obligations, investment-grade instruments, certificates of deposit or direct or guaranteed obligations of the U.S. government. Our management has broad discretion as to the use of these proceeds and you will be relying on the judgment of our management regarding the application of these proceeds. We might apply these proceeds in ways with which you do not agree, or in ways that do not yield a favorable return. If our management applies these proceeds in a manner that does not yield a significant return, if any, on our investment of these net proceeds, it could compromise our ability to pursue our growth strategy and adversely affect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actual number of shares we will issue under the Offering Agreement, at any one time or in total, is uncertain.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Offering Agreement and compliance with applicable law, we have the discretion to deliver a placement notice to Wainwright at any time throughout the term of the Offering Agreement. The number of shares that are sold by Wainwright after delivering a placement notice will fluctuate based on the market price of the shares of common stock during the sales period and limits we set with Wainwright. Because the price per share of each share sold will fluctuate based on the market price of our common stock during the sales period, it is not possible at this stage to predict the number of shares that will be ultimately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common stock offered hereby will be sold in “at-the-market”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145394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Statements contained in this prospectus supplement, the accompanying prospectus and in the documents incorporated by reference herein that are not strictly historical in nature are forward-looking statements within the meaning of Section 27A of the Securities Act, and within the meaning of Section 21E of the Exchange Act. These forward-looking statements are subject to the “safe harbor” created by Section 27A of the Securities Act and Section 21E of the Exchange Act and may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success, cost and timing of our development activities, non-clinical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timing and outcome of our current and future clinical trials, and the reporting of data from those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research and development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of our technologies and our ability to execute on our corporate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medical, commercial and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fund our working capital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and breadth of our patent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therapeutic potential of Auxora and our other product candidates and the expected patient populations, market opportunities, commercial potential and commercialization strategy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cash runway and expected use of cash and cash equivalents;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need to obtain additional funding and the ability to obtain such funding for our operations, including funding necessary to develop and commercialize our product candidates, subject to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plans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and maintain our corporate infrastructure, including our ability to design and maintain an effective system of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and regulatory developments in the United States and other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claims relating to our intellectual property or other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future economic conditions or 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impact of global health pandemics, geopolitical conflicts and economic uncertainty, including tariffs and other trade measures, rising interest rates and inflation on our business and operations, including clinical trials, collaborators, contract research organizations (“CROs”)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adequately protect intellectual property rights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regulatory approval for our product candidates and any related restrictions, limitations and/or warnings in the label of any approved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extend our operating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the market size of our product candidates, addressable patient populations, and future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service and comply with the terms of our outstanding indebtedness;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to satisfy the Nasdaq listing requirements and have our stock continue to trade on Nasdaq;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statements of belief and any statement of assumptions underlying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“anticipates,” “believes,” “could,” “estimates,” “expects,” “goal,” “intends,” “may,” “plans,” “potential,” “predicts,” “projects,” “should,” “will,” “would,” the negative of these words and words or similar expressions intended to identify forward- looking statements. 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this prospectus supplement and the documents incorporated by reference herein or any free writing prospectus that we authorize for use in connection with this offering.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supplement and in the documents incorporated by reference herein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common stock in this offering, you should carefully consider the risk factors discussed herein or incorporated by reference, in addition to the other information set forth in this prospectus supplement, any free writing prospectus supplement we authorize for use in connection with this offering and in the documents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145394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sales proceeds of up to $25,000,000 from time to time. Because there is no minimum offering amount required as a condition of this offering, the actual total public offering amount, commissions and proceeds to us, if any, are not determinable at this time. There can be no assurance that we will sell any shares under or fully utilize the Offering Agreement with Wainwright as a source of financing.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for general corporate purposes, which may include research and development expenses, clinical trial expenses, capital expenditures and working capital. We may also use a portion of the net proceeds to in-license, invest in or acquire businesses, assets or technologies that we believe are complementary to our own, although we have no current plans, commitments or agreements with respect to any acquisitions. Pending these uses, we intend to temporarily invest the net proceeds in short- and intermediate- term, interest-bearing obligations, investment-grade instruments, certificates of deposit or direct or guaranteed obligations of the U.S. government. We will retain broad discretion in determining how we will allocate the net proceeds from the sale of common stock under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145394_6"/>
      <w:bookmarkEnd w:id="8"/>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shares of our common stock in this offering, your interest will be diluted immediately to the extent of the difference between the public offering price per share and the as adjusted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on June 30, 2026, was approximately $5.5 million, or $0.90 per share, after giving retroactive effect to the Reverse Stock Split. “Net tangible book value” is total assets minus the sum of liabilities and intangible assets. “Net tangible book value per share” is net tangible book value divided by the total number of shares outstanding, which was adjusted to give retroactive effect to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14,749,262 shares of common stock in this offering at an assumed offering price of $1.695 per share, which was the closing price of our common stock as reported on the Nasdaq Capital Market on September 28, 2026, and after deducting estimated offering commissions and expenses payable by us, our as adjusted net tangible book value as of June 30, 2026, would have been approximately $29.5 million, or $1.41 per share of common stock. This represents an immediate increase in net tangible book value of $0.51 per share to our existing stockholders and an immediate dilution in net tangible book value of $0.285 per share to investors participating in this offering. The following table illustrates this dilution per share to investors participating in this offering: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43"/>
        <w:gridCol w:w="385"/>
        <w:gridCol w:w="145"/>
        <w:gridCol w:w="447"/>
        <w:gridCol w:w="60"/>
        <w:gridCol w:w="385"/>
        <w:gridCol w:w="145"/>
        <w:gridCol w:w="581"/>
        <w:gridCol w:w="64"/>
      </w:tblGrid>
      <w:tr>
        <w:trPr/>
        <w:tc>
          <w:tcPr>
            <w:tcW w:w="5543"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offering price per share</w:t>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1.695</w:t>
            </w:r>
          </w:p>
        </w:tc>
        <w:tc>
          <w:tcPr>
            <w:tcW w:w="64" w:type="dxa"/>
            <w:tcBorders/>
            <w:shd w:fill="CCEEFF" w:val="clear"/>
            <w:vAlign w:val="bottom"/>
          </w:tcPr>
          <w:p>
            <w:pPr>
              <w:pStyle w:val="TableContents"/>
              <w:bidi w:val="0"/>
              <w:spacing w:before="0" w:after="283"/>
              <w:jc w:val="left"/>
              <w:rPr/>
            </w:pPr>
            <w:r>
              <w:rPr/>
              <w:t> </w:t>
            </w:r>
          </w:p>
        </w:tc>
      </w:tr>
      <w:tr>
        <w:trPr/>
        <w:tc>
          <w:tcPr>
            <w:tcW w:w="5543"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June 30, 2026</w:t>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447" w:type="dxa"/>
            <w:tcBorders/>
            <w:vAlign w:val="bottom"/>
          </w:tcPr>
          <w:p>
            <w:pPr>
              <w:pStyle w:val="TableContents"/>
              <w:bidi w:val="0"/>
              <w:spacing w:before="0" w:after="283"/>
              <w:jc w:val="right"/>
              <w:rPr/>
            </w:pPr>
            <w:r>
              <w:rPr/>
              <w:t>0.90</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 in offering</w:t>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447" w:type="dxa"/>
            <w:tcBorders/>
            <w:shd w:fill="CCEEFF" w:val="clear"/>
            <w:vAlign w:val="bottom"/>
          </w:tcPr>
          <w:p>
            <w:pPr>
              <w:pStyle w:val="TableContents"/>
              <w:bidi w:val="0"/>
              <w:spacing w:before="0" w:after="283"/>
              <w:jc w:val="right"/>
              <w:rPr/>
            </w:pPr>
            <w:r>
              <w:rPr/>
              <w:t>0.51</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543"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543"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the offering</w:t>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1.41</w:t>
            </w:r>
          </w:p>
        </w:tc>
        <w:tc>
          <w:tcPr>
            <w:tcW w:w="64" w:type="dxa"/>
            <w:tcBorders/>
            <w:vAlign w:val="bottom"/>
          </w:tcPr>
          <w:p>
            <w:pPr>
              <w:pStyle w:val="TableContents"/>
              <w:bidi w:val="0"/>
              <w:spacing w:before="0" w:after="283"/>
              <w:jc w:val="left"/>
              <w:rPr/>
            </w:pPr>
            <w:r>
              <w:rPr/>
              <w:t> </w:t>
            </w:r>
          </w:p>
        </w:tc>
      </w:tr>
      <w:tr>
        <w:trPr/>
        <w:tc>
          <w:tcPr>
            <w:tcW w:w="5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w:t>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0.285</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illustration of dilution per share to investors participating in this offering assumes no exercise of outstanding warrants or options and no vesting or settlement of outstanding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our common stock to be outstanding after this offering is based on 6,147,246 shares of common stock outstanding as of June 30, 2026, and excludes the following, which were also retroactively adjusted for the Reverse Stock Split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747,011 shares of common stock issuable upon the exercise of outstanding pre-funded common stock warrants at an exercise price of $0.0005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937,454 shares issuable upon the exercise of outstanding warrants at a weighted average exercise price of $30.02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1,113,716 shares of common stock issuable upon the exercise of outstanding stock options at a weighted-average exercise price of $17.20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 shares of common stock issuable upon the exercise of outstanding restricted stock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15,987 additional shares of common stock reserved for future issuance under our equity incentive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82,347 additional shares reserved for future issuance under our employee stock purchase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options, warrants or restricted stock units as of June 30, 2026 have been or may be exercised or vested and settled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145394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previously entered into the Offering Agreement with Wainwright, pursuant to which we may issue and sell from time to time shares of our common stock having an aggregate offering price of up to $25,000,000 through Wainwright as our sales agent pursuant to this prospectus supplement and the accompanying prospectus. Sales of the shares of common stock, if any, will be made by any method permitted by law deemed to be an “at the market offering” as defined in Rule 415 promulgated under the Securities Act, including sales made directly on or through Nasdaq, or any other existing trading market in the United States for our common stock, sales made to or through a market maker other than on an exchange or otherwise, directly to Wainwright as principal, in negotiated transactions at market prices prevailing at the time of sale or at prices related to such prevailing market prices and/or in any other method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Wainwright will offer shares of our common stock at prevailing market prices subject to the terms and conditions of the Offering Agreement as agreed upon by us and Wainwright. We will designate the number of shares which we desire to sell, the time period during which sales are requested to be made, any limitation on the number of shares that may be sold in one day and any minimum price below which sales may not be made. Subject to the terms and conditions of the Offering Agreement, Wainwright will use its commercially reasonable efforts consistent with its normal trading and sales practices to sell on our behalf all of the shares requested to be sold by us. We or Wainwright may suspend the offering of the shares of Common Stock being made through Wainwright under the Offering Agreement upon proper notice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common stock will occur on the first trading day, or such shorter settlement cycle as may be in effect under Exchange Act Rule 15c6-1 from time to time, following the date on which any sales are made, or on some other date that is agreed upon by us and Wainwright in connection with a particular transaction, in return for payment of the net proceeds to us. Sales of our shares of our common stock as contemplated in this prospectus supplement will be settled through the facilities of The Depository Trust Company or by such other means as we and Wainwright may agree upon.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will pay Wainwright in cash, upon each sale of shares of our common stock pursuant to the Offering Agreement, a commission of 3.0% of the gross proceeds from each sale of shares. Because there is no minimum offering amount required as a condition of this offering, the actual total public offering amount, commissions and proceeds to us, if any, are not determinable at this time. Pursuant to the terms of the Offering Agreement, we agreed to reimburse Wainwright for the documented fees and costs of its legal counsel reasonably incurred in connection with entering into the transactions contemplated by the Offering Agreement in an amount not to exceed $50,000 in the aggregate (which amount has previously been paid). We will report at least quarterly the number of shares of our Common Stock sold through Wainwright under the Offering Agreement, the net proceeds to us and the compensation paid by us to Wainwright in connection with the sales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sales of shares of our Common Stock on our behalf, Wainwright may be deemed to be an “underwriter” within the meaning of the Securities Act, and the compensation paid to Wainwright may be deemed to be underwriting commissions or discounts. We have agreed in the Offering Agreement to provide indemnification and contribution to Wainwright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our shares of our Common Stock pursuant to the Offering Agreement will terminate upon the earlier of the sale of all of the shares of our Common Stock provided for in this prospectus supplement or termination of the Offering Agreement as permitted therein.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by Regulation M, Wainwright will not engage in any market making activities involving our Common Stock while the offering is ongoing under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time to time, Wainwright may provide in the future various advisory, investment and commercial banking and other services to us in the ordinary course of business, for which they may receive customary fees and commissions. However, we have no present arrangements with Wainwright for any further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145394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common stock offered by this prospectus supplement will be passed upon for us by Cooley LLP, San Diego, California. Wainwright is being represented in connection with this offering by Ellenoff Grossman  &amp; Schole LLP, New York, New York. </w:t>
      </w:r>
    </w:p>
    <w:p>
      <w:pPr>
        <w:pStyle w:val="TextBody"/>
        <w:bidi w:val="0"/>
        <w:spacing w:before="480" w:after="0"/>
        <w:jc w:val="center"/>
        <w:rPr>
          <w:rFonts w:ascii="Times New Roman" w:hAnsi="Times New Roman"/>
          <w:b/>
          <w:sz w:val="20"/>
        </w:rPr>
      </w:pPr>
      <w:bookmarkStart w:id="11" w:name="supptx145394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the Company as of December 31, 2025 and 2024 and for the years then ended, incorporated by reference from the Annual Report on Form 10-K of the Company for the year ended December 31, 2025, have been audited by Baker Tilly US, LLP, an independent registered public accounting firm, as stated in their report (which report expresses an unqualified opinion and includes an explanatory paragraph relating to a going concern uncertainty).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145394_10"/>
      <w:bookmarkEnd w:id="12"/>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on Form S-3 we filed with the SEC. This prospectus supplement does not contain all of the information set forth in the registration statement and the exhibits to the registration statement. For further information with respect to us and the securities we are offering under this prospectus supplement,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supplement is accurate as of any date other than the date on the front page of this prospectus supplement, regardless of the time of delivery of this prospectus supplement or any sale of the securities offered by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that contains reports, proxy statements and other information regarding issuers that file electronically with the SEC, including CalciMedica. The address of the SEC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www.calcimedica.com. Information contained in or accessible through our website does not constitute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145394_11"/>
      <w:bookmarkEnd w:id="13"/>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supplement and the accompanying prospectus, which means that we can disclose important information to you by referring you to another document filed separately with the SEC. The SEC file number for the documents incorporated by reference in this prospectus supplement is No. 001-39538. The documents incorporated by reference into this prospectus supplement contain important information that you should read about 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incorporated by reference into this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3, 2026, as amended by </w:t>
            </w:r>
            <w:hyperlink r:id="rId4">
              <w:r>
                <w:rPr>
                  <w:rStyle w:val="InternetLink"/>
                  <w:rFonts w:ascii="Times New Roman" w:hAnsi="Times New Roman"/>
                  <w:sz w:val="20"/>
                </w:rPr>
                <w:t>Amendment No. 1</w:t>
              </w:r>
            </w:hyperlink>
            <w:r>
              <w:rPr>
                <w:rFonts w:ascii="Times New Roman" w:hAnsi="Times New Roman"/>
                <w:sz w:val="20"/>
              </w:rPr>
              <w:t xml:space="preserve"> to our Annual Report on Form 10-K/A, filed with the SEC on April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filed with the SEC on </w:t>
            </w:r>
            <w:hyperlink r:id="rId5">
              <w:r>
                <w:rPr>
                  <w:rStyle w:val="InternetLink"/>
                  <w:rFonts w:ascii="Times New Roman" w:hAnsi="Times New Roman"/>
                  <w:sz w:val="20"/>
                </w:rPr>
                <w:t>May  12, 2026</w:t>
              </w:r>
            </w:hyperlink>
            <w:r>
              <w:rPr>
                <w:rFonts w:ascii="Times New Roman" w:hAnsi="Times New Roman"/>
                <w:sz w:val="20"/>
              </w:rPr>
              <w:t xml:space="preserve"> and </w:t>
            </w:r>
            <w:hyperlink r:id="rId6">
              <w:r>
                <w:rPr>
                  <w:rStyle w:val="InternetLink"/>
                  <w:rFonts w:ascii="Times New Roman" w:hAnsi="Times New Roman"/>
                  <w:sz w:val="20"/>
                </w:rPr>
                <w:t>August 11,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(other than information furnished rather than filed) filed with the SEC on </w:t>
            </w:r>
            <w:hyperlink r:id="rId7">
              <w:r>
                <w:rPr>
                  <w:rStyle w:val="InternetLink"/>
                  <w:rFonts w:ascii="Times New Roman" w:hAnsi="Times New Roman"/>
                  <w:sz w:val="20"/>
                </w:rPr>
                <w:t>January  28, 2026</w:t>
              </w:r>
            </w:hyperlink>
            <w:r>
              <w:rPr>
                <w:rFonts w:ascii="Times New Roman" w:hAnsi="Times New Roman"/>
                <w:sz w:val="20"/>
              </w:rPr>
              <w:t xml:space="preserve">, </w:t>
            </w:r>
            <w:hyperlink r:id="rId8">
              <w:r>
                <w:rPr>
                  <w:rStyle w:val="InternetLink"/>
                  <w:rFonts w:ascii="Times New Roman" w:hAnsi="Times New Roman"/>
                  <w:sz w:val="20"/>
                </w:rPr>
                <w:t>January  28, 2026</w:t>
              </w:r>
            </w:hyperlink>
            <w:r>
              <w:rPr>
                <w:rFonts w:ascii="Times New Roman" w:hAnsi="Times New Roman"/>
                <w:sz w:val="20"/>
              </w:rPr>
              <w:t xml:space="preserve">, </w:t>
            </w:r>
            <w:hyperlink r:id="rId9">
              <w:r>
                <w:rPr>
                  <w:rStyle w:val="InternetLink"/>
                  <w:rFonts w:ascii="Times New Roman" w:hAnsi="Times New Roman"/>
                  <w:sz w:val="20"/>
                </w:rPr>
                <w:t>March  18, 2026</w:t>
              </w:r>
            </w:hyperlink>
            <w:r>
              <w:rPr>
                <w:rFonts w:ascii="Times New Roman" w:hAnsi="Times New Roman"/>
                <w:sz w:val="20"/>
              </w:rPr>
              <w:t xml:space="preserve">, </w:t>
            </w:r>
            <w:hyperlink r:id="rId10">
              <w:r>
                <w:rPr>
                  <w:rStyle w:val="InternetLink"/>
                  <w:rFonts w:ascii="Times New Roman" w:hAnsi="Times New Roman"/>
                  <w:sz w:val="20"/>
                </w:rPr>
                <w:t>June  24, 2026</w:t>
              </w:r>
            </w:hyperlink>
            <w:r>
              <w:rPr>
                <w:rFonts w:ascii="Times New Roman" w:hAnsi="Times New Roman"/>
                <w:sz w:val="20"/>
              </w:rPr>
              <w:t xml:space="preserve">, </w:t>
            </w:r>
            <w:hyperlink r:id="rId11">
              <w:r>
                <w:rPr>
                  <w:rStyle w:val="InternetLink"/>
                  <w:rFonts w:ascii="Times New Roman" w:hAnsi="Times New Roman"/>
                  <w:sz w:val="20"/>
                </w:rPr>
                <w:t>June  24, 2026</w:t>
              </w:r>
            </w:hyperlink>
            <w:r>
              <w:rPr>
                <w:rFonts w:ascii="Times New Roman" w:hAnsi="Times New Roman"/>
                <w:sz w:val="20"/>
              </w:rPr>
              <w:t xml:space="preserve">, </w:t>
            </w:r>
            <w:hyperlink r:id="rId12">
              <w:r>
                <w:rPr>
                  <w:rStyle w:val="InternetLink"/>
                  <w:rFonts w:ascii="Times New Roman" w:hAnsi="Times New Roman"/>
                  <w:sz w:val="20"/>
                </w:rPr>
                <w:t>July  7, 2026</w:t>
              </w:r>
            </w:hyperlink>
            <w:r>
              <w:rPr>
                <w:rFonts w:ascii="Times New Roman" w:hAnsi="Times New Roman"/>
                <w:sz w:val="20"/>
              </w:rPr>
              <w:t xml:space="preserve">, </w:t>
            </w:r>
            <w:hyperlink r:id="rId13">
              <w:r>
                <w:rPr>
                  <w:rStyle w:val="InternetLink"/>
                  <w:rFonts w:ascii="Times New Roman" w:hAnsi="Times New Roman"/>
                  <w:sz w:val="20"/>
                </w:rPr>
                <w:t>August  20, 2026</w:t>
              </w:r>
            </w:hyperlink>
            <w:r>
              <w:rPr>
                <w:rFonts w:ascii="Times New Roman" w:hAnsi="Times New Roman"/>
                <w:sz w:val="20"/>
              </w:rPr>
              <w:t xml:space="preserve">, </w:t>
            </w:r>
            <w:hyperlink r:id="rId14">
              <w:r>
                <w:rPr>
                  <w:rStyle w:val="InternetLink"/>
                  <w:rFonts w:ascii="Times New Roman" w:hAnsi="Times New Roman"/>
                  <w:sz w:val="20"/>
                </w:rPr>
                <w:t>August  27, 2026</w:t>
              </w:r>
            </w:hyperlink>
            <w:r>
              <w:rPr>
                <w:rFonts w:ascii="Times New Roman" w:hAnsi="Times New Roman"/>
                <w:sz w:val="20"/>
              </w:rPr>
              <w:t xml:space="preserve">, </w:t>
            </w:r>
            <w:hyperlink r:id="rId15">
              <w:r>
                <w:rPr>
                  <w:rStyle w:val="InternetLink"/>
                  <w:rFonts w:ascii="Times New Roman" w:hAnsi="Times New Roman"/>
                  <w:sz w:val="20"/>
                </w:rPr>
                <w:t>September  2, 2026</w:t>
              </w:r>
            </w:hyperlink>
            <w:r>
              <w:rPr>
                <w:rFonts w:ascii="Times New Roman" w:hAnsi="Times New Roman"/>
                <w:sz w:val="20"/>
              </w:rPr>
              <w:t xml:space="preserve"> and </w:t>
            </w:r>
            <w:hyperlink r:id="rId16">
              <w:r>
                <w:rPr>
                  <w:rStyle w:val="InternetLink"/>
                  <w:rFonts w:ascii="Times New Roman" w:hAnsi="Times New Roman"/>
                  <w:sz w:val="20"/>
                </w:rPr>
                <w:t>September 16,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in our Annual Report on Form 10-K for the fiscal year ended December 31, 2023, filed with the SEC on </w:t>
            </w:r>
            <w:hyperlink r:id="rId17">
              <w:r>
                <w:rPr>
                  <w:rStyle w:val="InternetLink"/>
                  <w:rFonts w:ascii="Times New Roman" w:hAnsi="Times New Roman"/>
                  <w:sz w:val="20"/>
                </w:rPr>
                <w:t>March 28, 2024</w:t>
              </w:r>
            </w:hyperlink>
            <w:r>
              <w:rPr>
                <w:rFonts w:ascii="Times New Roman" w:hAnsi="Times New Roman"/>
                <w:sz w:val="20"/>
              </w:rPr>
              <w:t xml:space="preserve">,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supplement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but prior to the termination of the offering. These documents include periodic reports, such as Annual Reports on Form 10-K, Quarterly Reports on Form 10-Q and Current Reports on Form 8-K, as well as proxy statements.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supplement is delivered, without charge upon written or oral request, a copy of any or all of the documents that are incorporated by reference into this prospectus supplement but not delivered with the prospectus supplement, including exhibits which are specifically incorporated by reference into such documents. You should direct any requests for documents by writing us at CalciMedica, Inc., 505 Coast Boulevard South, Suite 300-9, La Jolla, California 92037, Attn: Corporate Secretary or telephoning us at (858) 952-5500.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3092450" cy="6140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3092450" cy="6140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6"/>
        </w:rPr>
      </w:pPr>
      <w:r>
        <w:rPr>
          <w:rFonts w:ascii="Times New Roman" w:hAnsi="Times New Roman"/>
          <w:b/>
          <w:sz w:val="26"/>
        </w:rPr>
        <w:t xml:space="preserve">$125,000,000 </w:t>
      </w:r>
    </w:p>
    <w:p>
      <w:pPr>
        <w:pStyle w:val="TextBody"/>
        <w:bidi w:val="0"/>
        <w:spacing w:before="0" w:after="0"/>
        <w:jc w:val="center"/>
        <w:rPr>
          <w:rFonts w:ascii="Times New Roman" w:hAnsi="Times New Roman"/>
          <w:b/>
          <w:sz w:val="26"/>
        </w:rPr>
      </w:pPr>
      <w:r>
        <w:rPr>
          <w:rFonts w:ascii="Times New Roman" w:hAnsi="Times New Roman"/>
          <w:b/>
          <w:sz w:val="26"/>
        </w:rPr>
        <w:t xml:space="preserve">Common Stock </w:t>
      </w:r>
    </w:p>
    <w:p>
      <w:pPr>
        <w:pStyle w:val="TextBody"/>
        <w:bidi w:val="0"/>
        <w:spacing w:before="0" w:after="0"/>
        <w:jc w:val="center"/>
        <w:rPr>
          <w:rFonts w:ascii="Times New Roman" w:hAnsi="Times New Roman"/>
          <w:b/>
          <w:sz w:val="26"/>
        </w:rPr>
      </w:pPr>
      <w:r>
        <w:rPr>
          <w:rFonts w:ascii="Times New Roman" w:hAnsi="Times New Roman"/>
          <w:b/>
          <w:sz w:val="26"/>
        </w:rPr>
        <w:t xml:space="preserve">Preferred Stock </w:t>
      </w:r>
    </w:p>
    <w:p>
      <w:pPr>
        <w:pStyle w:val="TextBody"/>
        <w:bidi w:val="0"/>
        <w:spacing w:before="0" w:after="0"/>
        <w:jc w:val="center"/>
        <w:rPr>
          <w:rFonts w:ascii="Times New Roman" w:hAnsi="Times New Roman"/>
          <w:b/>
          <w:sz w:val="26"/>
        </w:rPr>
      </w:pPr>
      <w:r>
        <w:rPr>
          <w:rFonts w:ascii="Times New Roman" w:hAnsi="Times New Roman"/>
          <w:b/>
          <w:sz w:val="26"/>
        </w:rPr>
        <w:t xml:space="preserve">Debt Securities </w:t>
      </w:r>
    </w:p>
    <w:p>
      <w:pPr>
        <w:pStyle w:val="TextBody"/>
        <w:bidi w:val="0"/>
        <w:spacing w:before="0" w:after="0"/>
        <w:jc w:val="center"/>
        <w:rPr>
          <w:rFonts w:ascii="Times New Roman" w:hAnsi="Times New Roman"/>
          <w:b/>
          <w:sz w:val="26"/>
        </w:rPr>
      </w:pPr>
      <w:r>
        <w:rPr>
          <w:rFonts w:ascii="Times New Roman" w:hAnsi="Times New Roman"/>
          <w:b/>
          <w:sz w:val="26"/>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From time to time, we may offer and sell up to an aggregate amount of $125,000,000 of any combination of the securities described in this prospectus, either individually or in combination, in one or more offerings. We may also offer securities as may be issuable upon conversion, redemption, repurchase, exchange or exercise of any securities registered hereunder, including any applicable antidilution provisions. </w:t>
      </w:r>
    </w:p>
    <w:p>
      <w:pPr>
        <w:pStyle w:val="TextBody"/>
        <w:bidi w:val="0"/>
        <w:spacing w:before="240" w:after="0"/>
        <w:jc w:val="left"/>
        <w:rPr>
          <w:rFonts w:ascii="Times New Roman" w:hAnsi="Times New Roman"/>
          <w:sz w:val="18"/>
        </w:rPr>
      </w:pPr>
      <w:r>
        <w:rPr>
          <w:rFonts w:ascii="Times New Roman" w:hAnsi="Times New Roman"/>
          <w:sz w:val="18"/>
        </w:rPr>
        <w:t xml:space="preserve">This prospectus provides a general description of the securities we may offer. Each time we offer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 </w:t>
      </w:r>
    </w:p>
    <w:p>
      <w:pPr>
        <w:pStyle w:val="TextBody"/>
        <w:bidi w:val="0"/>
        <w:spacing w:before="240" w:after="0"/>
        <w:jc w:val="left"/>
        <w:rPr>
          <w:rFonts w:ascii="Times New Roman" w:hAnsi="Times New Roman"/>
          <w:sz w:val="18"/>
        </w:rPr>
      </w:pPr>
      <w:r>
        <w:rPr>
          <w:rFonts w:ascii="Times New Roman" w:hAnsi="Times New Roman"/>
          <w:sz w:val="18"/>
        </w:rPr>
        <w:t xml:space="preserve">Our common stock is listed on the Nasdaq Capital Market under the trading symbol “CALC.” On March 2, 2026, the last reported sale price of our common stock was $0.507 per share. The applicable prospectus supplement will contain information, where applicable, as to other listings, if any, on the Nasdaq Capital Market or other securities exchange of the securities covered by the applicable prospectus supplement. </w:t>
      </w:r>
    </w:p>
    <w:p>
      <w:pPr>
        <w:pStyle w:val="TextBody"/>
        <w:bidi w:val="0"/>
        <w:spacing w:before="240" w:after="0"/>
        <w:jc w:val="left"/>
        <w:rPr>
          <w:rFonts w:ascii="Times New Roman" w:hAnsi="Times New Roman"/>
          <w:sz w:val="18"/>
        </w:rPr>
      </w:pPr>
      <w:r>
        <w:rPr>
          <w:rFonts w:ascii="Times New Roman" w:hAnsi="Times New Roman"/>
          <w:sz w:val="18"/>
        </w:rPr>
        <w:t xml:space="preserve">We are a “smaller reporting company” under the federal securities laws and are subject to reduced public company disclosure standards. See the section titled “Prospectus Summary—Implications of Being a Smaller Reporting Company.”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Before making an investment decision, you should review carefully the risks and uncertainties described under the section titled “</w:t>
      </w:r>
      <w:hyperlink w:anchor="tx145394_3">
        <w:r>
          <w:rPr>
            <w:rStyle w:val="InternetLink"/>
            <w:rFonts w:ascii="Times New Roman" w:hAnsi="Times New Roman"/>
            <w:b/>
            <w:sz w:val="24"/>
          </w:rPr>
          <w:t>Risk Factors</w:t>
        </w:r>
      </w:hyperlink>
      <w:r>
        <w:rPr>
          <w:rFonts w:ascii="Times New Roman" w:hAnsi="Times New Roman"/>
          <w:b/>
          <w:sz w:val="24"/>
        </w:rPr>
        <w:t xml:space="preserve">” on page 8 of this prospectus and any similar section contained in the applicable prospectus supplement and in any free writing prospectuses we may authorize for use in connection with a specific offering, and under similar section titles in the documents that are incorporated by reference into this prospectus. </w:t>
      </w:r>
    </w:p>
    <w:p>
      <w:pPr>
        <w:pStyle w:val="TextBody"/>
        <w:bidi w:val="0"/>
        <w:spacing w:before="240" w:after="0"/>
        <w:jc w:val="left"/>
        <w:rPr>
          <w:rFonts w:ascii="Times New Roman" w:hAnsi="Times New Roman"/>
          <w:b/>
          <w:sz w:val="18"/>
        </w:rPr>
      </w:pPr>
      <w:r>
        <w:rPr>
          <w:rFonts w:ascii="Times New Roman" w:hAnsi="Times New Roman"/>
          <w:b/>
          <w:sz w:val="18"/>
        </w:rPr>
        <w:t xml:space="preserve">This prospectus may not be used to consummate a sale of any securities unless accompanied by a prospectus supplement. </w:t>
      </w:r>
    </w:p>
    <w:p>
      <w:pPr>
        <w:pStyle w:val="TextBody"/>
        <w:bidi w:val="0"/>
        <w:spacing w:before="240" w:after="0"/>
        <w:jc w:val="left"/>
        <w:rPr>
          <w:rFonts w:ascii="Times New Roman" w:hAnsi="Times New Roman"/>
          <w:sz w:val="18"/>
        </w:rPr>
      </w:pPr>
      <w:r>
        <w:rPr>
          <w:rFonts w:ascii="Times New Roman" w:hAnsi="Times New Roman"/>
          <w:sz w:val="18"/>
        </w:rPr>
        <w:t xml:space="preserve">The securities may be sold directly by us to investors, through agents designated from time to time or to or through underwriters or dealers, or through a combination of these methods, on a continuous or delayed basis. For additional information on the methods of sale, you should refer to the section titled “Plan of Distribution” in this prospectus. If any agents, underwriters or dealers are involved in the sale of any securities with respect to which this prospectus is being delivered, the names of such agents or underwriters and any applicable fees, commissions, discounts and options to purchase additional shares will be set forth in a prospectus supplement. The price to the public of such securities and the net proceeds we expect to receive from such sale will also be set forth in a prospectus supplement. For additional information, please refer to the sections titled “About this Prospectus” and “Plan of Distribution” in this prospectus. </w:t>
      </w:r>
    </w:p>
    <w:p>
      <w:pPr>
        <w:pStyle w:val="TextBody"/>
        <w:bidi w:val="0"/>
        <w:spacing w:before="24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The date of this prospectus is March 11,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
      <w:bookmarkEnd w:id="14"/>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5394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5394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5394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5394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5394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5394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5394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5394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5394_9">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5394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5394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5394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5394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5394_14">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45394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(the “SEC”), utilizing a “shelf” registration process under the Securities Act of 1933, as amended (the “Securities Act”). Under this shelf registration process, we may, from time to time, offer and sell shares of our common stock and preferred stock, various series of debt securities and/or warrants to purchase any such securities, either individually or in combination with other securities, in one or more offerings, up to a total aggregate offering amount of $125,000,000.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may authorize for use in connection with a specific offering, together with the information incorporated herein by reference as described under the sections titled “Where You Can Find More Information” and “Incorporation of Certain Information by Reference,” before buying any of the securities being offered.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into, this prospectus and any applicable prospectus supplement, along with the information contained in any related free writing prospectuses we may authorize for use in connection with a specific offering. We have not authorized anyone to provide you with different or additional information.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appearing in this prospectus, any applicable prospectus supplement and any related free writing prospectus that we may authorize for use in connection with this offering is accurate only as of the date on the front of the document and that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section titled “Risk Factors” contained in the applicable prospectus supplement and any related free writing prospectus, and under similar section titles in the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herein contain summaries of certain provisions contained in some of the documents described herein, but reference is made to the actual documents for complete information. All of the summaries are qualified in their entirety by the actual documents. Copies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some of the documents referred to herein have been filed, will be filed or will be incorporated by reference as exhibits to the registration statement of which this prospectus is a part, and you may obtain copies of those documents as described below under the sections titled “Where You Can Find Additional Information” and “Incorporation of Certain Information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6" w:name="tx145394_2"/>
      <w:bookmarkEnd w:id="16"/>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 titled “Risk Factors” contained in the applicable prospectus supplement and any related free writing prospectus, and under similar section titles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 Unless the context requires otherwise, references in this prospectus to “CalciMedica,” “we,” “us,” “the Company” and “our” refer to CalciMedica, Inc.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developing therapeutics for serious illnesses driven by inflammatory and immunologic processes and direct cellular damage. Our product candidates target calcium release-activated calcium (“CRAC”) channels and, if approved, would represent a new class of therapeutics.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Clinical and preclinical data suggest that inhibition of CRAC channels may have therapeutic potential through a dual mechanism involving modulation of inflammatory signaling and protection of tissue cells from calcium-mediated injury. Dysregulated CRAC channel signaling has been implicated in a range of acute and chronic diseases characterized by immune activation, inflammation, and cellular injury. We seek to leverage our CRAC channel inhibitor platform to develop therapies for indications in which these pathways are clinically relevant.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product candidate is Auxora, a potent and selective, intravenously formulated small-molecule CRAC channel inhibitor containing the active compound zegocractin (formerly CM4620). Auxora has been evaluated in multiple Phase 2 clinical trials across acute critical care settings, including acute pancreatitis (“AP”), severe COVID-19 pneumonia, and pediatric asparaginase-induced pancreatic toxicity (“AIPT”), and acute kidney injury (“AKI”) with associated acute hypoxemic respiratory failure (“AHRF”). Results from these studies have informed our understanding of the pharmacologic profile of CRAC channel inhibition in acute inflammatory conditions.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the Securities Exchange Act of 1934, as amended (the “Exchange Act”). Smaller reporting companies may take advantage of certain scaled disclosures, including, among other things, providing only two years of audited financial statements in their Annual Report on Form 10-K, not being required to comply with the auditor attestation requirements of Section 404 of the Sarbanes-Oxley Act and having reduced disclosure obligations regarding executive compensation. We will be able to take advantage of these reduced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originally formed in May 2011 as Graybug, LLC, which was converted into a corporation in February 2015. Our corporate headquarters are located at 505 Coast Boulevard South, Suite 307, La Jolla, 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92037, and our telephone number is (858) 952-5500. Our corporate website address is https://calcimedica.com/. Information contained on or accessible through our website is not a part of this prospectus, the accompanying prospectus or any related free writing prospectus, and the inclusion of our website address in this prospectus is an inactive textual reference only. Our periodic and current reports are available on our website, free of charge, as soon as reasonably practicable after filing. We may use our website as a means of disclosing material non-public information and for complying with our disclosure obligations under Regulation Fair Disclosure promulgated by the SEC. These disclosures will be included under the Investor Relations section of our website at ir.calcimedica.com.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March 20, 2023, Graybug Vision, Inc. (“Graybug”), now known as CalciMedica, Inc., completed the Merger with CalciMedica, Inc. (“Private CalciMedica”), in accordance with the terms of the Agreement and Plan of and Reorganization, dated as of November 21, 2022, as amended on February 10, 2023 (the “Merger Agreement”), by and among Graybug, Camaro Merger Sub, Inc., a wholly owned subsidiary of Graybug (“Merger Sub”) and Private CalciMedica, whereby Merger Sub merged into Private CalciMedica, with Private CalciMedica surviving as Graybug’s wholly owned subsidiary. Pursuant to the Merger Agreement, Graybug changed its name to CalciMedica,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December 31, 2024, Private CalciMedica was dissolved and combined into CalciMedica,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contains references to our trademarks and to trademarks belonging to other entities. Solely for convenience, trademarks and trade names referred to in this prospectus,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We May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shares of our common stock and preferred stock, various series of debt securities and/or warrants to purchase any of such securities, either individually or in combination with other securities, up to an aggregate offering amount of $125,000,000, from time to time in one or more offerings under this prospectus, together with the applicable prospectus supplement and any related free writing prospectus, at prices and on terms to be determined by market conditions at the time of any offering. We may also offer securities as may be issuable upon conversion, redemption, repurchase, exchange or exercise of any securities registered hereunder, including any applicable antidilution provisions.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date,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or dividends,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exercise, exchange or sinking fund terms,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prices or rates, if any, and, if applicable, any provisions for changes to or adjustments in the conversion or exchange prices or rates and in the securities or other property receivable upon conversion or exchange;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or special U.S. federal income tax considerations, if any.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those agents or underwriters;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fees, discounts and commissions to be paid to them;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over-allotment options,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to us.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Common Stock.</w:t>
      </w:r>
      <w:r>
        <w:rPr>
          <w:rFonts w:ascii="Times New Roman" w:hAnsi="Times New Roman"/>
          <w:sz w:val="20"/>
          <w:bdr w:val="single" w:sz="8" w:space="1" w:color="000000"/>
        </w:rPr>
        <w:t xml:space="preserve"> We may issue shares of our common stock from time to time. The holders of our common stock are entitled to one vote per share held of record on any matter that is submitted to a vote of stockholders. Subject to the preferences that may be applicable to any outstanding shares of preferred stock, the holders of common stock are entitled to receive ratably such dividends as may be declared by our board of directors out of legally available funds. Upon our liquidation, dissolution or winding up, holders of our common stock are entitled to share ratably in all assets remaining after payment of liabilities and the liquidation preferences of any outstanding shares of preferred stock. Holders of common stock have no preemptive rights and no right to convert their common stock into any other securities. There are no redemption or sinking fund provisions applicable to our common stock. In this prospectus, we have summarized certain general features of the common stock under “Description of Capital Stock—Common Stock.” We urge you, however, to read the applicable prospectus supplement (and any related free writing prospectus that we may authorize to be provided to you) related to any common stock being offered.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Preferred Stock.</w:t>
      </w:r>
      <w:r>
        <w:rPr>
          <w:rFonts w:ascii="Times New Roman" w:hAnsi="Times New Roman"/>
          <w:sz w:val="20"/>
          <w:bdr w:val="single" w:sz="8" w:space="1" w:color="000000"/>
        </w:rPr>
        <w:t xml:space="preserve"> We may issue shares of our preferred stock from time to time, in one or more series. Our board of directors will determine 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your option and would be at prescribed conversion rates.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we sell any series of preferred stock under this prospectus as supplemented by a prospectus supplement and, if applicable, a free writing prospectus, we will fix the designations, voting powers, preferences and rights of the preferred stock of each such series we issue under this prospectus, as well as the qualifications, limitations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the section titled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Debt Securities.</w:t>
      </w:r>
      <w:r>
        <w:rPr>
          <w:rFonts w:ascii="Times New Roman" w:hAnsi="Times New Roman"/>
          <w:sz w:val="20"/>
          <w:bdr w:val="single" w:sz="8" w:space="1" w:color="000000"/>
        </w:rPr>
        <w:t xml:space="preserve"> 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common stock or our other securities. Conversion or exchange may be mandatory or optional (at our option or the holders’ option) and would be at prescribed conversion or exchange prices.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debt securities issued under this prospectus will be issued under one or more documents called indentures, which are contracts between us and a national banking association or other eligible party, as trustee. In this prospectus, we have summarized certain general features of such debt securities under the section titled “Description of Debt Securities.” We urge you, however, to read the applicable prospectus supplement (and any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Warrants. </w:t>
      </w:r>
      <w:r>
        <w:rPr>
          <w:rFonts w:ascii="Times New Roman" w:hAnsi="Times New Roman"/>
          <w:sz w:val="20"/>
          <w:bdr w:val="single" w:sz="8" w:space="1" w:color="000000"/>
        </w:rPr>
        <w:t xml:space="preserve">We may issue warrants for the purchase of common stock, preferred stock and/or debt securities in one or more series. We may issue warrants independently or in combination with common stock, preferred stock and/or debt securities offered by any prospectus supplement. In this prospectus, we have summarized certain general features of the warrants under the section titled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Use of Proceeds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described in any applicable prospectus supplement or in any free writing prospectuses we may authorize for use in connection with a specific offering, we currently intend to use the net proceeds from the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of the securities offered by us hereunder, if any, for general corporate purposes, which may include research and development expenses, clinical trial expenses, capital expenditures and working capital. See the section titled “Use of Proceeds”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Nasdaq Capital Market Listing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is listed on the Nasdaq Capital Market under the symbol “CALC.” The applicable prospectus supplement will contain information, where applicable, as to other listings, if any, on the Nasdaq Capital Market or any other securities market or other exchange of the securities covered by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45394_3"/>
      <w:bookmarkEnd w:id="1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deciding whether to invest in our securities, you should consider carefully the risks and uncertainties described under the section titled “Risk Factors” contained in the applicable prospectus supplement and any related free writing prospectus, and discussed under the section titled “Risk Factors” contained in our most recent Annual Report on Form 10-K and our Quarterly Reports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45394_4"/>
      <w:bookmarkEnd w:id="18"/>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as well as the documents that are incorporated by reference in this prospectus or any accompanying prospectus supplement, contain “forward-looking statements” within the meaning of Section 27A of the Securities Act and Section 21E of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In some cases you can identify these statements by forward-looking words such as “believe,” “may,” “will,” “estimate,” “continue,” “anticipate,” “intend,” “could,” “would,” “project,” “plan,” “expect” or the negative or plural of these words or similar expressions. These forward-looking statements include, but are not limited to, statements concerning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success, cost and timing of our development activities, non-clinical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timing and outcome of our current and future clinical trials, and the reporting of data from those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research and development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of our technologies and our ability to execute on our corporate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medical, commercial and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fund our working capital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and breadth of our patent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therapeutic potential of Auxora and our other product candidates and the expected patient populations, market opportunities, commercial potential and commercialization strategy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cash runway and expected use of cash, cash equivalents and short-term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need to obtain additional funding and the ability to obtain such funding for our operations, including funding necessary to develop and commercialize our product candidates, subject to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plans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and maintain our corporate infrastructure, including our ability to design and maintain an effective system of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and regulatory developments in the United States and other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claims relating to our intellectual property or other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future economic conditions or 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impact of global health pandemics, geopolitical conflicts and economic uncertainty, including tariffs and other trade measures, rising interest rates and inflation on our business and operations, including clinical trials, collaborators, contract research organizations (“CROs”)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adequately protect intellectual property rights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regulatory approval for our product candidates and any related restrictions, limitations and/or warnings in the label of any approved product candidate;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extend our operating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service and comply with the terms of our outstanding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to satisfy Nasdaq’s continued listing requirements and have our stock continue to trade on Nasdaq;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statements of belief and any statement of assumptions underlying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reflect our current views with respect to future events and are based on assumptions and are subject to risks and uncertainties. Given these assumptions, risks and uncertainties, you should not place undue reliance on these forward-looking statements.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Quarterly Reports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45394_5"/>
      <w:bookmarkEnd w:id="1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any applicable prospectus supplement or in any related free writing prospectuses we may authorize for use in connection with a specific offering, we currently intend to use the net proceeds from the sale of the securities offered by us hereunder, if any, for general corporate purposes, which may include research and development expenses, clinical trial expenses, capital expenditures and working capital. We may also use a portion of the net proceeds to in-license, invest in or acquire businesses, assets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may temporarily invest the net proceeds of any offering under this prospectus in short- and intermediate-term, interest-bearing obligations, investment-grade instruments, certificates of deposit or direct or guaranteed obligations of the U.S. government. We will retain broad discretion in determining how we will allocate the net proceeds from the sale of securities under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45394_6"/>
      <w:bookmarkEnd w:id="20"/>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our authorized capital stock consists of 500,000,000 shares of common stock, par value $0.0001 per share, and 10,000,000 shares of preferred stock, par value $0.0001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most important terms of our capital stock and certain provisions of our restated certificate of incorporation, as amended (our “restated certificate of incorporation”), our restated bylaws (our “restated bylaws”) and the applicable provisions of the General Corporation Law of the State of Delaware (the “DGCL”). Because it is only a summary, it does not contain all of the information that may be important to you and is qualified entirely by reference to the provisions of our restated certificate of incorporation, our restated bylaws and the DGCL. For information on how to obtain copies of our restated certificate of incorporation and restated bylaws, which are exhibits to the registration statement of which this prospectus is a part, see the section titled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We have not provided for cumulative voting for the election of directors in our restated certificate of incorporation, which means that holders of a majority of the shares of our common stock will be able to elect all of our directors. Our restated certificate of incorporation established a classified board of directors, divided into three classes with staggered three-year terms. Only one class of directors will be elected at each annual meeting of our stockholders, with the other classes continuing for the remainder of their respective three-year terms. </w:t>
      </w:r>
    </w:p>
    <w:p>
      <w:pPr>
        <w:pStyle w:val="TextBody"/>
        <w:bidi w:val="0"/>
        <w:spacing w:before="360" w:after="0"/>
        <w:jc w:val="left"/>
        <w:rPr>
          <w:rFonts w:ascii="Times New Roman" w:hAnsi="Times New Roman"/>
          <w:i/>
          <w:sz w:val="20"/>
        </w:rPr>
      </w:pPr>
      <w:r>
        <w:rPr>
          <w:rFonts w:ascii="Times New Roman" w:hAnsi="Times New Roman"/>
          <w:i/>
          <w:sz w:val="20"/>
        </w:rPr>
        <w:t xml:space="preserve">No Preemptive or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not entitled to preemptive rights, and is not subject to conversion, redemption or sinking fund provisions. </w:t>
      </w:r>
    </w:p>
    <w:p>
      <w:pPr>
        <w:pStyle w:val="TextBody"/>
        <w:bidi w:val="0"/>
        <w:spacing w:before="360" w:after="0"/>
        <w:jc w:val="left"/>
        <w:rPr>
          <w:rFonts w:ascii="Times New Roman" w:hAnsi="Times New Roman"/>
          <w:i/>
          <w:sz w:val="20"/>
        </w:rPr>
      </w:pPr>
      <w:r>
        <w:rPr>
          <w:rFonts w:ascii="Times New Roman" w:hAnsi="Times New Roman"/>
          <w:i/>
          <w:sz w:val="20"/>
        </w:rPr>
        <w:t xml:space="preserve">Right to Receive Liquidation Distributions </w:t>
      </w:r>
    </w:p>
    <w:p>
      <w:pPr>
        <w:pStyle w:val="TextBody"/>
        <w:bidi w:val="0"/>
        <w:spacing w:before="120" w:after="0"/>
        <w:jc w:val="left"/>
        <w:rPr>
          <w:rFonts w:ascii="Times New Roman" w:hAnsi="Times New Roman"/>
          <w:sz w:val="20"/>
        </w:rPr>
      </w:pPr>
      <w:r>
        <w:rPr>
          <w:rFonts w:ascii="Times New Roman" w:hAnsi="Times New Roman"/>
          <w:sz w:val="20"/>
        </w:rPr>
        <w:t xml:space="preserve">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authorized, subject to limitations prescribed by Delaware law, to issue up to 10,000,000 shares of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Our board of directors is also able to increase or decrease the number of shares of any series of preferred stock, but not below the number of shares of that series then outstanding and not above the number of shares of that series authorized,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DGCL,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Restated Certificate of Incorporation and Restated Bylaw Provisions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and our restated bylaws include a number of provisions that could deter hostile takeovers or delay or prevent changes in control of our company,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Board of Directors Vacancies</w:t>
            </w:r>
            <w:r>
              <w:rPr>
                <w:rFonts w:ascii="Times New Roman" w:hAnsi="Times New Roman"/>
                <w:sz w:val="20"/>
              </w:rPr>
              <w:t xml:space="preserve">. Our restated certificate of incorporation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Classified Board</w:t>
            </w:r>
            <w:r>
              <w:rPr>
                <w:rFonts w:ascii="Times New Roman" w:hAnsi="Times New Roman"/>
                <w:sz w:val="20"/>
              </w:rPr>
              <w:t xml:space="preserve">. Our restated certificate of incorporation and restated bylaws provide that our board of directors is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Stockholder Action; Special Meetings of Stockholders</w:t>
            </w:r>
            <w:r>
              <w:rPr>
                <w:rFonts w:ascii="Times New Roman" w:hAnsi="Times New Roman"/>
                <w:sz w:val="20"/>
              </w:rPr>
              <w:t xml:space="preserve">. Our restated certificate of incorporation provides that our stockholders may not take 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xml:space="preserve">. Our restated bylaws provide advance notice procedures for 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the right to cumulate votes in the election of directors unless a corporation’s certificate of incorporation provides otherwise. Our restated certificate of incorporation and restated bylaws do not provide for cumulative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Directors Removed Only for Cause</w:t>
            </w:r>
            <w:r>
              <w:rPr>
                <w:rFonts w:ascii="Times New Roman" w:hAnsi="Times New Roman"/>
                <w:sz w:val="20"/>
              </w:rPr>
              <w:t xml:space="preserve">. Our restated certificate of incorporation provides that stockholders may remove directors only for cause and only by the affirmative vote of the holders of at least two-thirds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Amendment of Charter Provisions</w:t>
            </w:r>
            <w:r>
              <w:rPr>
                <w:rFonts w:ascii="Times New Roman" w:hAnsi="Times New Roman"/>
                <w:sz w:val="20"/>
              </w:rPr>
              <w:t xml:space="preserve">. Any amendment of the above provisions in our restated certificate of incorporation requires approval by holders of at least two-thirds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Issuance of Undesignated Preferred Stock</w:t>
            </w:r>
            <w:r>
              <w:rPr>
                <w:rFonts w:ascii="Times New Roman" w:hAnsi="Times New Roman"/>
                <w:sz w:val="20"/>
              </w:rPr>
              <w:t xml:space="preserve">. Our board of directors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Choice of Forum</w:t>
            </w:r>
            <w:r>
              <w:rPr>
                <w:rFonts w:ascii="Times New Roman" w:hAnsi="Times New Roman"/>
                <w:sz w:val="20"/>
              </w:rPr>
              <w:t xml:space="preserve">. Our restated certificate of incorporation provides that, to the fullest extent permitted by law,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Our restated bylaws provide that the federal district courts of the United States of America will, to the fullest extent permitted by law, be the exclusive forum for resolving any complaint asserting a cause of action arising under the Securities Act, which we refer to as a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The transfer agent’s address is 28 Liberty Street, Floor 53, New York, NY 10005. The transfer agent for any series of preferred stock that we may offer under this prospectus will be named and described in the prospectus supplement related to that series.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on the Nasdaq Capital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Capital Market under the symbol “CALC”. The applicable prospectus supplement will contain information, where applicable, as to any other listing, if any, on the Nasdaq Capital Market or any securities market or other exchange of the preferred stock covered by such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45394_7"/>
      <w:bookmarkEnd w:id="21"/>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24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45394_8"/>
      <w:bookmarkEnd w:id="22"/>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and any applicable free writing prospectus that we may authorize for use in connection with an offering,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that we may authorize for use in connection with an offering. The following description of warrants will apply to the warrants offered by this prospectus unless we provide otherwise in the applicable prospectus supplement. The applicable prospectus supplement for a particular series of warrants may specify different or additional terms. </w:t>
      </w:r>
    </w:p>
    <w:p>
      <w:pPr>
        <w:pStyle w:val="TextBody"/>
        <w:bidi w:val="0"/>
        <w:spacing w:before="240" w:after="0"/>
        <w:jc w:val="left"/>
        <w:rPr>
          <w:rFonts w:ascii="Times New Roman" w:hAnsi="Times New Roman"/>
          <w:sz w:val="20"/>
        </w:rPr>
      </w:pPr>
      <w:r>
        <w:rPr>
          <w:rFonts w:ascii="Times New Roman" w:hAnsi="Times New Roman"/>
          <w:sz w:val="20"/>
        </w:rPr>
        <w:t xml:space="preserve">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warrant agreement and warrant certificate, as applicable, that describe the terms of the particular series of warrants we are offering, and any supplemental agreements, before the issuance of such warrants. The following summaries of the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that we may authorize for use in connection with an offering, and the complete form of warrant and/or the warrant agreement and warrant certificate, as applicable, and any supplemental agreements,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the terms relating to a series of warrants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or prices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agreements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force the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agreements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exercising their warrants, holders of warrants will not have any of the rights of holders of the securities purchasable upon such exercise,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right to receive payments of principal of, or premium, if any, or interest on, the debt securities purchasable upon exercise or to enforce covenants in the applicable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right to receive dividends, if any, or, payments upon our liquidation, dissolution or winding up or to exercise voting rights, if 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holders of the warrants may exercise the warrants at any time up to the specified time on the expiration date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the required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if any, will act solely as our agent under the applicable warrant agreement and will not assume any obligation or relationship of agency or trust with any holder of any warrant. A single bank or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45394_9"/>
      <w:bookmarkEnd w:id="23"/>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applicable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and of any third parties employed by us or a trustee, run only to the legal holders of the securities. We do not have obligations to investors who hold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240" w:after="0"/>
        <w:jc w:val="left"/>
        <w:rPr>
          <w:rFonts w:ascii="Times New Roman" w:hAnsi="Times New Roman"/>
          <w:sz w:val="20"/>
        </w:rPr>
      </w:pPr>
      <w:r>
        <w:rPr>
          <w:rFonts w:ascii="Times New Roman" w:hAnsi="Times New Roman"/>
          <w:sz w:val="20"/>
        </w:rPr>
        <w:t xml:space="preserve">For example, once we make a payment or give a notice to the legal holder, we have no further responsibility for the payment or notice even if that legal holder is required, under agreements with depositary participants or customers or by law, to pass it along to the indirect holders but does not do so. Similarly, we may want to obtain the approval of the legal holders to amend an indenture, to relieve us of the consequences of a default or of our obligation to comply with a particular provision of the indenture, or for other purposes. In such an event, we would seek approval only from the legal holders, and not the indirect holders, of the securities. Whether and how the legal holders contact the indirect holders is up to the legal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in this prospectus.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in a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in the form of a global security,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the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any applicable trustee have no responsibility for any aspect of the depositary’s actions or for its records of ownership interests in the global security, nor will we or any applicable trustee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more than one financial intermediary in the chain of ownership for an investor. We do not monitor and are not responsible for the actions of any of those intermediaries.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brokers or other financial institutions to find out how to have their interests in securities transferred to their own name,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Unless we provide otherwise in the applicable prospectus supplement, the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45394_10"/>
      <w:bookmarkEnd w:id="2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covered hereby from time to time pursuant to underwritten public offerings, direct sales to the public, negotiated transactions, block trades or a combination of these methods. A distribution of these securities offered by this prospectus may also be effected through the issuance of derivative securities, including without limitation, warrants. We may sell the securities to or through underwriters or dealers,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sell equity securities covered by this registration statement in an “at-the-market offering” as defined in Rule 415(a)(4) under the Securities Act. Such offering may be made into an existing trading market for such securities in transactions at other than a fixed price,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through the facilities of the Nasdaq Capital Market or any other securities exchange or quotation or trading service on which such securities may be listed, quoted or traded at the time of sale;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 market maker other than on the Nasdaq Capital Market or such other securities exchanges or quotation or trading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at-the-market offerings, if any, may be conducted by underwriters acting as principal or agent.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options pursuant to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are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securities. Any public offering price and any discounts or concessions allowed or reallowed or paid to dealers may change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use underwriters with whom we have a material relationship. We will describe in the prospectus supplement, naming the underwriter,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and other compensation we will pay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common stock which is listed on the Nasdaq Capital Market. We have no current plans for listing of the debt securities, preferred stock or warrants on any securities exchange or quotation system; any such listing with respect to any particular debt securities, preferred stock or warrants will be described in the applicable prospectus supplement or other offering materials,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Any agents and underwriter may engage in overallotment, stabilizing transactions, short covering transactions and penalty bids in accordance with Rule 103 of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agents and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In compliance with the guidelines of the Financial Industry Regulatory Authority (“FINRA”), the maximum consideration or discount to be received by any FINRA member or independent broker dealer may not exceed 8% of the aggregate amount of the securities offering pursuant to this prospectus and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specific terms of any lock-up provisions with respect to any given offering will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45394_11"/>
      <w:bookmarkEnd w:id="2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certain legal matters in connection with the offering and the validity of the securities offered by this prospectus, and any supplement thereto, will be passed upon by Cooley LLP, San Diego, California.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6" w:name="tx145394_12"/>
      <w:bookmarkEnd w:id="2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the Company as of December 31, 2025 and 2024 and for the years then ended, incorporated by reference from the Annual Report on Form 10-K of the Company for the year ended December 31, 2025, have been audited by Baker Tilly US, LLP, an independent registered public accounting firm, as stated in their report (which report expresses an unqualified opinion and includes an explanatory paragraph relating to a going concern uncertainty).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45394_13"/>
      <w:bookmarkEnd w:id="2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the registration statement on Form S-3 we filed with the SEC under the Securities Act and does not contain all of the information set forth or incorporated by reference in the registration statement. Whenever a reference is made in this prospectus to any of our contracts, agreements or other documents, the reference may not be complete and you should refer to the exhibits that are part of the registration statement or the exhibits to the reports or other documents incorporated by reference into this prospectus for a copy of such contract, agreement or other document.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We file annual, quarterly and current reports, proxy statements and other information with the SEC. Our SEC filings are available to the public over the Internet at the SEC’s website at www.sec.gov. Copies of certain information filed by us with the SEC are also available free of charge on our website at www.calcimedica.com. Information contained in or accessible through our website does not constitute a part of this prospectus and is not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45394_14"/>
      <w:bookmarkEnd w:id="28"/>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001-39538. The documents incorporated by reference into this prospectus contain important information that you should read about 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incorporated by reference into this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9">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(other than information furnished rather than filed) filed with the SEC on </w:t>
            </w:r>
            <w:hyperlink r:id="rId20">
              <w:r>
                <w:rPr>
                  <w:rStyle w:val="InternetLink"/>
                  <w:rFonts w:ascii="Times New Roman" w:hAnsi="Times New Roman"/>
                  <w:sz w:val="20"/>
                </w:rPr>
                <w:t>January  28, 2026</w:t>
              </w:r>
            </w:hyperlink>
            <w:r>
              <w:rPr>
                <w:rFonts w:ascii="Times New Roman" w:hAnsi="Times New Roman"/>
                <w:sz w:val="20"/>
              </w:rPr>
              <w:t xml:space="preserve"> and </w:t>
            </w:r>
            <w:hyperlink r:id="rId21">
              <w:r>
                <w:rPr>
                  <w:rStyle w:val="InternetLink"/>
                  <w:rFonts w:ascii="Times New Roman" w:hAnsi="Times New Roman"/>
                  <w:sz w:val="20"/>
                </w:rPr>
                <w:t>January 28,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in our Annual Report on Form 10-K for the fiscal year ended December 31, 2023, filed with the SEC on </w:t>
            </w:r>
            <w:hyperlink r:id="rId22">
              <w:r>
                <w:rPr>
                  <w:rStyle w:val="InternetLink"/>
                  <w:rFonts w:ascii="Times New Roman" w:hAnsi="Times New Roman"/>
                  <w:sz w:val="20"/>
                </w:rPr>
                <w:t>March 28, 2024</w:t>
              </w:r>
            </w:hyperlink>
            <w:r>
              <w:rPr>
                <w:rFonts w:ascii="Times New Roman" w:hAnsi="Times New Roman"/>
                <w:sz w:val="20"/>
              </w:rPr>
              <w:t xml:space="preserve">,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all offerings covered by this prospectus. These documents include periodic reports, such as Annual Reports on Form 10-K, Quarterly Reports on Form 10-Q and Current Reports on Form 8-K, as well as proxy statements.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CalciMedica, Inc., 505 Coast Boulevard South, Suite 307, La Jolla, California 92037, Attn: Corporate Secretary or telephoning us at (858) 952-5500.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prospectus will be deemed to be modified or superseded for purposes of the document to the extent that a statement contained in this prospectus or any other subsequently filed document that is deemed to be incorporated by reference into this prospectus modifies or supersedes the statement.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Up to $25,000,000 of Shares of </w:t>
      </w:r>
    </w:p>
    <w:p>
      <w:pPr>
        <w:pStyle w:val="TextBody"/>
        <w:bidi w:val="0"/>
        <w:spacing w:before="0" w:after="0"/>
        <w:jc w:val="left"/>
        <w:rPr/>
      </w:pPr>
      <w:r>
        <w:rPr/>
        <w:t>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H.C. Wainwright &amp; Co.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September 30,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34133/000119312526088147/ck0001534133-20251231.htm" TargetMode="External"/><Relationship Id="rId4" Type="http://schemas.openxmlformats.org/officeDocument/2006/relationships/hyperlink" Target="http://www.sec.gov/Archives/edgar/data/../../../ix?doc=/Archives/edgar/data/0001534133/000119312526197104/ck0001534133-20251231.htm" TargetMode="External"/><Relationship Id="rId5" Type="http://schemas.openxmlformats.org/officeDocument/2006/relationships/hyperlink" Target="http://www.sec.gov/Archives/edgar/data/../../../ix?doc=/Archives/edgar/data/0001534133/000119312526219426/ck0001534133-20260331.htm" TargetMode="External"/><Relationship Id="rId6" Type="http://schemas.openxmlformats.org/officeDocument/2006/relationships/hyperlink" Target="http://www.sec.gov/Archives/edgar/data/../../../ix?doc=/Archives/edgar/data/0001534133/000119312526344689/ck0001534133-20260630.htm" TargetMode="External"/><Relationship Id="rId7" Type="http://schemas.openxmlformats.org/officeDocument/2006/relationships/hyperlink" Target="http://www.sec.gov/Archives/edgar/data/../../../ix?doc=/Archives/edgar/data/0001534133/000119312526025649/d55769d8k.htm" TargetMode="External"/><Relationship Id="rId8" Type="http://schemas.openxmlformats.org/officeDocument/2006/relationships/hyperlink" Target="http://www.sec.gov/Archives/edgar/data/../../../ix?doc=/Archives/edgar/data/0001534133/000119312526027462/d40225d8k.htm" TargetMode="External"/><Relationship Id="rId9" Type="http://schemas.openxmlformats.org/officeDocument/2006/relationships/hyperlink" Target="http://www.sec.gov/Archives/edgar/data/../../../ix?doc=/Archives/edgar/data/0001534133/000119312526114096/d101411d8k.htm" TargetMode="External"/><Relationship Id="rId10" Type="http://schemas.openxmlformats.org/officeDocument/2006/relationships/hyperlink" Target="http://www.sec.gov/Archives/edgar/data/../../../ix?doc=/Archives/edgar/data/0001534133/000119312526280223/d40651d8k.htm" TargetMode="External"/><Relationship Id="rId11" Type="http://schemas.openxmlformats.org/officeDocument/2006/relationships/hyperlink" Target="http://www.sec.gov/Archives/edgar/data/../../../ix?doc=/Archives/edgar/data/0001534133/000119312526281246/d142943d8k.htm" TargetMode="External"/><Relationship Id="rId12" Type="http://schemas.openxmlformats.org/officeDocument/2006/relationships/hyperlink" Target="http://www.sec.gov/Archives/edgar/data/../../../ix?doc=/Archives/edgar/data/0001534133/000119312526297475/ck0001534133-20260702.htm" TargetMode="External"/><Relationship Id="rId13" Type="http://schemas.openxmlformats.org/officeDocument/2006/relationships/hyperlink" Target="http://www.sec.gov/Archives/edgar/data/../../../ix?doc=/Archives/edgar/data/0001534133/000119312526357258/d434771d8k.htm" TargetMode="External"/><Relationship Id="rId14" Type="http://schemas.openxmlformats.org/officeDocument/2006/relationships/hyperlink" Target="http://www.sec.gov/Archives/edgar/data/../../../ix?doc=/Archives/edgar/data/0001534133/000119312526369713/d165361d8k.htm" TargetMode="External"/><Relationship Id="rId15" Type="http://schemas.openxmlformats.org/officeDocument/2006/relationships/hyperlink" Target="http://www.sec.gov/Archives/edgar/data/../../../ix?doc=/Archives/edgar/data/0001534133/000119312526379419/d133027d8k.htm" TargetMode="External"/><Relationship Id="rId16" Type="http://schemas.openxmlformats.org/officeDocument/2006/relationships/hyperlink" Target="http://www.sec.gov/Archives/edgar/data/../../../ix?doc=/Archives/edgar/data/0001534133/000119312526393034/d166013d8k.htm" TargetMode="External"/><Relationship Id="rId17" Type="http://schemas.openxmlformats.org/officeDocument/2006/relationships/hyperlink" Target="http://www.sec.gov/Archives/edgar/data/1534133/000095017024038064/calc-ex4_2.htm" TargetMode="External"/><Relationship Id="rId18" Type="http://schemas.openxmlformats.org/officeDocument/2006/relationships/image" Target="media/image1.jpeg"/><Relationship Id="rId19" Type="http://schemas.openxmlformats.org/officeDocument/2006/relationships/hyperlink" Target="http://www.sec.gov/Archives/edgar/data/../../../ix?doc=/Archives/edgar/data/1534133/000119312526088147/ck0001534133-20251231.htm" TargetMode="External"/><Relationship Id="rId20" Type="http://schemas.openxmlformats.org/officeDocument/2006/relationships/hyperlink" Target="http://www.sec.gov/Archives/edgar/data/../../../ix?doc=/Archives/edgar/data/0001534133/000119312526025649/d55769d8k.htm" TargetMode="External"/><Relationship Id="rId21" Type="http://schemas.openxmlformats.org/officeDocument/2006/relationships/hyperlink" Target="http://www.sec.gov/Archives/edgar/data/../../../ix?doc=/Archives/edgar/data/0001534133/000119312526027462/d40225d8k.htm" TargetMode="External"/><Relationship Id="rId22" Type="http://schemas.openxmlformats.org/officeDocument/2006/relationships/hyperlink" Target="http://www.sec.gov/Archives/edgar/data/1534133/000095017024038064/calc-ex4_2.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66</Pages>
  <Words>24289</Words>
  <Characters>128577</Characters>
  <CharactersWithSpaces>153423</CharactersWithSpaces>
  <Paragraphs>1758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