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June 23, 2026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CalciMedica,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001-39538</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45-2120079</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505 Coast Boulevard South, Suite 307</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La Jolla, California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92037</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(858) 952-5500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obligations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CALC</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Capital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9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759" w:firstLine="3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 Entry into a Material Definitive Agreement</w:t>
      </w:r>
    </w:p>
    <w:p>
      <w:pPr>
        <w:spacing w:after="0" w:line="80" w:lineRule="exact"/>
        <w:rPr>
          <w:sz w:val="20"/>
          <w:szCs w:val="20"/>
          <w:color w:val="auto"/>
        </w:rPr>
      </w:pPr>
    </w:p>
    <w:p>
      <w:pPr>
        <w:ind w:left="640" w:right="699" w:firstLine="309"/>
        <w:spacing w:after="0" w:line="265" w:lineRule="auto"/>
        <w:rPr>
          <w:sz w:val="20"/>
          <w:szCs w:val="20"/>
          <w:color w:val="auto"/>
        </w:rPr>
      </w:pPr>
      <w:r>
        <w:rPr>
          <w:rFonts w:ascii="Times New Roman" w:cs="Times New Roman" w:eastAsia="Times New Roman" w:hAnsi="Times New Roman"/>
          <w:sz w:val="12"/>
          <w:szCs w:val="12"/>
          <w:color w:val="auto"/>
        </w:rPr>
        <w:t>On June 23, 2026, CalciMedica, Inc. (the “Company”) entered into a securities purchase agreement (the “Purchase Agreement”) with certain new and existing institutional and accredited investors named therein (each, an “Investor” and collectively, the “Investors”), for the private placement (the “Private Placement”) of an aggregate of 18,673,429 units (the “Units”), each Unit comprised of (i) (A) one share of the Company’s common stock, par value $0.0001 per share (the “Common Stock”), or (B) one pre-funded warrant to purchase one share of Common Stock (each, a “Pre-Funded Warrant” and collectively, the “Pre-Funded Warrants”), and, in each case, (ii) a right to receive one Series A warrant to purchase one share of Common Stock or a pre-funded warrant to purchase one share of Common Stock (each, a “Series A Warrant” and collectively, the “Series A Warrants”) upon receipt of Stockholder Approval (as defined below), and (iii) a right to receive one Series B warrant to purchase one share of Common Stock or a pre-funded warrant to purchase one share of Common Stock (each, a “Series B Warrant” and collectively, the “Series B Warrants”, and together with the Series A Warrants, the “Warrants”) upon receipt of Stockholder Approval (the shares of Common Stock issuable upon exercise of the Pre-Funded Warrants and Warrants, the “Warrant Shares”). “Stockholder Approval” means such approval as may be required by the applicable rules and regulations of The Nasdaq Capital Market from the stockholders of the Company with respect to the issuance of all of the Series A Warrants and Series B Warrants and the Warrant Shares issuable upon the exercise thereof. A Unit comprised of one share of Common Stock, one right to receive a Series A Warrant and one right to receive a Series B Warrant shall have a purchase price of $0.8033 (the “Common Stock Unit Purchase Price”) and a Unit comprised of one Pre-Funded Warrant, one right to receive a Series A Warrant and one right to receive a Series B Warrant shall have a purchase price of $0.8032 (the “Pre-Funded Warrant Unit Purchase Price”, and together with the Common Stock Unit Purchase Price, the “Purchase Prices”). Rachel Leheny, Ph.D., the Company’s Chief Executive Officer, a member of the board of directors of the Company (the “Board”) and a beneficial owner of more than 5% of the Company’s common stock, Eric Roberts, the Company’s Chief Business Officer, a member of the Board and a beneficial owner of more than 5% of the Company’s common stock, Sudarshan Hebbar, M.D., the Company’s Chief Medical Officer, Robert Wilson, a member of the Board, Sanderling Venture Partners VI Co-Investment Fund, L.P., a beneficial owner of more than 5% of the Company’s common stock and an affiliate of Fred Middleton, a member of the Board, Alafi Capital Company, LLC, a beneficial owner of more than 5% of the Company’s common stock, and Bering Partners II, L.P., a beneficial owner of more than 5% of the Company’s common stock, are participating in the Private Placement for an aggregate of 6,908,996 Units. The Purchase Prices for each Unit, as applicable, for any Investor that is an officer, director, employee or consultant of the Company was priced above the Nasdaq Consolidated Closing Bid Price as of June 23, 2026.</w:t>
      </w:r>
    </w:p>
    <w:p>
      <w:pPr>
        <w:spacing w:after="0" w:line="287"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The upfront gross proceeds for the Private Placement are expected to be approximately $15.0 million, before deducting placement agent fees and other expenses, and up to approximately an additional $34 million in gross proceeds if the Warrants are fully exercised for cash. The closing of the Private Placement is expected to occur on or about June 25, 2026, subject to the satisfaction of customary closing conditions. The Private Placement is being conducted in accordance with applicable rules of The Nasdaq Stock Market LLC.</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Guggenheim Securities, LLC is acting as the sole placement agent for the Private Placement. The Company has agreed to pay the placement agent customary placement fees in its capacity as placement agent for the sale of the Units to the Investors.</w:t>
      </w:r>
    </w:p>
    <w:p>
      <w:pPr>
        <w:spacing w:after="0" w:line="122"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The Company expects to use the net proceeds from the Private Placement to fund research and development of its product candidates, working capital and general corporate purposes.</w:t>
      </w:r>
    </w:p>
    <w:p>
      <w:pPr>
        <w:spacing w:after="0" w:line="122"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Each Pre-Funded Warrant will have an exercise price of $0.0001 per Pre-Funded Warrant Share, will be immediately exercisable on the date of issuance and will not expire. If a registration statement covering the resale of the Pre-Funded Warrant Shares is not available, the Pre-Funded Warrants may also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w:t>
      </w:r>
    </w:p>
    <w:p>
      <w:pPr>
        <w:spacing w:after="0" w:line="134" w:lineRule="exact"/>
        <w:rPr>
          <w:sz w:val="20"/>
          <w:szCs w:val="20"/>
          <w:color w:val="auto"/>
        </w:rPr>
      </w:pPr>
    </w:p>
    <w:p>
      <w:pPr>
        <w:ind w:left="640" w:right="779" w:firstLine="309"/>
        <w:spacing w:after="0" w:line="272" w:lineRule="auto"/>
        <w:rPr>
          <w:sz w:val="20"/>
          <w:szCs w:val="20"/>
          <w:color w:val="auto"/>
        </w:rPr>
      </w:pPr>
      <w:r>
        <w:rPr>
          <w:rFonts w:ascii="Times New Roman" w:cs="Times New Roman" w:eastAsia="Times New Roman" w:hAnsi="Times New Roman"/>
          <w:sz w:val="12"/>
          <w:szCs w:val="12"/>
          <w:color w:val="auto"/>
        </w:rPr>
        <w:t>The Series A Warrants shall have an exercise price equal to $0.8033 per Warrant Share, will be exercisable immediately upon issuance and will expire on the earlier of (i) 18 months after the closing date of the Private Placement and (ii) 30 days following the Company’s public announcement of the clearance of its Investigational New Drug Application by the U.S. Food and Drug Administration for CM5480 (the “Series A Expiration Date”); provided that if such date occurs prior to the date on which Stockholder Approval is obtained (the “Stockholder Approval Date”), the Series A Expiration Date shall be extended until 30 days following the Stockholder Approval Date. The Series A Warrants will be issued upon receipt of Stockholder Approval. If a registration statement covering the resale of the Warrant Shares is not available, the Series A Warrants may also</w:t>
      </w:r>
    </w:p>
    <w:p>
      <w:pPr>
        <w:sectPr>
          <w:pgSz w:w="11900" w:h="16838" w:orient="portrait"/>
          <w:cols w:equalWidth="0" w:num="1">
            <w:col w:w="9019"/>
          </w:cols>
          <w:pgMar w:left="1440" w:top="248" w:right="1440" w:bottom="1440" w:gutter="0" w:footer="0" w:header="0"/>
        </w:sectPr>
      </w:pPr>
    </w:p>
    <w:bookmarkStart w:id="2" w:name="page3"/>
    <w:bookmarkEnd w:id="2"/>
    <w:p>
      <w:pPr>
        <w:ind w:left="640" w:right="7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be exercisable on a net exercise “cashless” basis. The Series A Warrants may not be exercised if the aggregate number of shares of Common Stock beneficially owned by the holder thereof immediately following such exercise would exceed a specified beneficial ownership limitation, not to exceed 19.99%. To the extent that exercise of the Series A Warrants will result in a holder thereof beneficially owning shares of Common Stock above such ownership limitations, the holder may exercise its Series A Warrants for pre-funded warrants to purchase shares of Common Stock. Such pre-funded warrants will have terms substantially similar to the Pre-Funded Warrants described above.</w:t>
      </w:r>
    </w:p>
    <w:p>
      <w:pPr>
        <w:spacing w:after="0" w:line="13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The Series B Warrants shall have an exercise price equal to $1.00 per Warrant Share, will be exercisable immediately upon issuance and will expire five years from the closing date of the Private Placement. The Series B Warrants will be issued upon receipt of Stockholder Approval. If a registration statement covering the resale of the Warrant Shares is not available, the Series B Warrants may also be exercisable on a net exercise “cashless” basis. The Series B Warrants may not be exercised if the aggregate number of shares of Common Stock beneficially owned by the holder thereof immediately following such exercise would exceed a specified beneficial ownership limitation, not to exceed 19.99%. To the extent that exercise of the Series B Warrants will result in a holder thereof beneficially owning shares of Common Stock above such ownership limitations, the holder may exercise its Series B Warrants for pre-funded warrants to purchase shares of Common Stock. Such pre-funded warrants will have terms substantially similar to the Pre-Funded Warrants described above.</w:t>
      </w:r>
    </w:p>
    <w:p>
      <w:pPr>
        <w:spacing w:after="0" w:line="139" w:lineRule="exact"/>
        <w:rPr>
          <w:sz w:val="20"/>
          <w:szCs w:val="20"/>
          <w:color w:val="auto"/>
        </w:rPr>
      </w:pPr>
    </w:p>
    <w:p>
      <w:pPr>
        <w:ind w:left="640" w:right="1139" w:firstLine="309"/>
        <w:spacing w:after="0" w:line="267" w:lineRule="auto"/>
        <w:rPr>
          <w:sz w:val="20"/>
          <w:szCs w:val="20"/>
          <w:color w:val="auto"/>
        </w:rPr>
      </w:pPr>
      <w:r>
        <w:rPr>
          <w:rFonts w:ascii="Times New Roman" w:cs="Times New Roman" w:eastAsia="Times New Roman" w:hAnsi="Times New Roman"/>
          <w:sz w:val="13"/>
          <w:szCs w:val="13"/>
          <w:color w:val="auto"/>
        </w:rPr>
        <w:t>The exercise price and the number of Warrant Shares will be subject to appropriate adjustment in the event of certain stock dividends and distributions, stock splits, stock combinations, reclassifications or similar events affecting the Common Stock.</w:t>
      </w:r>
    </w:p>
    <w:p>
      <w:pPr>
        <w:spacing w:after="0" w:line="122"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In the event of certain fundamental transactions (as described in the respective warrants), (i) a holder of Pre-Funded Warrants or Series A Warrants will have the right to receive, upon exercise, the same amount and kind of securities, cash or property that such holder would have received had they exercised in full immediately prior to such fundamental transaction, without regard to any limitations on exercise, and (ii) a holder of Series B Warrants will have the right, at its election, to receive a cash payment equal to the Black Scholes value of the remaining unexercised portion of such Series B Warrants in lieu of the foregoing, calculated in accordance with the terms of the Series B Warrants.</w:t>
      </w:r>
    </w:p>
    <w:p>
      <w:pPr>
        <w:spacing w:after="0" w:line="13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Pursuant to the Purchase Agreement, the Company agreed to file a registration statement with the U.S. Securities and Exchange Commission (the “SEC”) within 30 days after the closing of the Private Placement (subject to certain exceptions) for purposes of registering the resale of the shares of Common Stock and the Warrant Shares, to use its reasonable best efforts to have such registration statement declared effective within the time period set forth in the Purchase Agreement, and to keep such registration statement effective until the earliest of (i) the time as all of the shares of Common Stock and Warrant Shares purchased by the Investors pursuant to the terms of the Purchase Agreement have been sold or otherwise transferred by the holder thereof pursuant to and in a manner contemplated by the registration statement, (ii) such time as such shares of Common Stock or Warrant Shares are sold pursuant to Rule 144 under circumstances in which any legend borne by such security relating to restrictions on transferability thereof, under the Securities Act of 1933, as amended (the “Securities Act”), or otherwise, is removed by the Company, or (iii) such time as the shares of Common Stock and Warrant Shares become eligible for resale by non-affiliates without any volume limitations or other restrictions pursuant to Rule 144 under the Securities Act or any other rule of similar effect.</w:t>
      </w:r>
    </w:p>
    <w:p>
      <w:pPr>
        <w:spacing w:after="0" w:line="136"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The Purchase Agreement contains customary representations, warranties and covenants that were made solely for the benefit of the parties to the Purchase Agreement. Such representations, warranties and covenants (i) are intended as a way of allocating risk between the parties to the Purchase Agreement and not as statements of fact and (ii) may apply standards of materiality in a way that is different from what may be viewed as material by stockholders of, or other investors in, the Company. Accordingly, the Purchase Agreement is included with this filing only to provide investors with information regarding the terms of the transaction and not to provide investors with any other factual information regarding the Company. 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Purchase Agreement, which subsequent information may or may not be fully reflected in public disclosures. Additionally, the Purchase Agreement contains customary indemnification obligations of the Company and the Investors, including for liabilities under the Securities Act, and other obligations of the parties.</w:t>
      </w:r>
    </w:p>
    <w:p>
      <w:pPr>
        <w:sectPr>
          <w:pgSz w:w="11900" w:h="16838" w:orient="portrait"/>
          <w:cols w:equalWidth="0" w:num="1">
            <w:col w:w="9019"/>
          </w:cols>
          <w:pgMar w:left="1440" w:top="250" w:right="1440" w:bottom="1440" w:gutter="0" w:footer="0" w:header="0"/>
        </w:sectPr>
      </w:pPr>
    </w:p>
    <w:bookmarkStart w:id="3" w:name="page4"/>
    <w:bookmarkEnd w:id="3"/>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foregoing descriptions of the Purchase Agreement, Pre-Funded Warrant, Series A Warrant and Series B Warrant do not purport to be complete and are qualified in their entirety by reference to the form of Purchase Agreement, form of Pre-Funded Warrant, form of Series A Warrant and form of Series B Warrant, which are filed as Exhibit 10.1, Exhibit 4.1, Exhibit 4.2 and Exhibit 4.3, respectively, to this Current Report on Form 8-K and incorporated herein by reference.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3.02 Unregistered Sales of Equity Securities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disclosures set forth in Item 1.01 above are incorporated by reference into this Item 3.02.</w:t>
      </w:r>
    </w:p>
    <w:p>
      <w:pPr>
        <w:spacing w:after="0" w:line="154" w:lineRule="exact"/>
        <w:rPr>
          <w:sz w:val="20"/>
          <w:szCs w:val="20"/>
          <w:color w:val="auto"/>
        </w:rPr>
      </w:pPr>
    </w:p>
    <w:p>
      <w:pPr>
        <w:ind w:left="640" w:right="779" w:firstLine="309"/>
        <w:spacing w:after="0" w:line="279" w:lineRule="auto"/>
        <w:rPr>
          <w:sz w:val="20"/>
          <w:szCs w:val="20"/>
          <w:color w:val="auto"/>
        </w:rPr>
      </w:pPr>
      <w:r>
        <w:rPr>
          <w:rFonts w:ascii="Times New Roman" w:cs="Times New Roman" w:eastAsia="Times New Roman" w:hAnsi="Times New Roman"/>
          <w:sz w:val="12"/>
          <w:szCs w:val="12"/>
          <w:color w:val="auto"/>
        </w:rPr>
        <w:t>The securities described above under Item 1.01 have not been registered under the Securities Act of 1933, as amended (“Securities Act”), or any state securities laws. The Company is relying on the exemption from the registration requirements of the Securities Act by virtue of Section 4(a)(2) thereof. The Investors provided representations appropriate for a private placement of securities. The securities were offered without any general solicitation by the Company or its representatives. Restrictive legends will be affixed to the securities issued in the Private Placement.</w:t>
      </w:r>
    </w:p>
    <w:p>
      <w:pPr>
        <w:spacing w:after="0" w:line="116"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Neither this Current Report on Form 8-K nor any exhibit attached hereto is an offer to sell or the solicitation of an offer to buy shares of Common Stock or other securities of the Company.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80" w:lineRule="exact"/>
        <w:rPr>
          <w:sz w:val="20"/>
          <w:szCs w:val="20"/>
          <w:color w:val="auto"/>
        </w:rPr>
      </w:pPr>
    </w:p>
    <w:p>
      <w:pPr>
        <w:ind w:left="640" w:right="979" w:firstLine="309"/>
        <w:spacing w:after="0" w:line="309" w:lineRule="auto"/>
        <w:rPr>
          <w:sz w:val="20"/>
          <w:szCs w:val="20"/>
          <w:color w:val="auto"/>
        </w:rPr>
      </w:pPr>
      <w:r>
        <w:rPr>
          <w:rFonts w:ascii="Times New Roman" w:cs="Times New Roman" w:eastAsia="Times New Roman" w:hAnsi="Times New Roman"/>
          <w:sz w:val="12"/>
          <w:szCs w:val="12"/>
          <w:color w:val="auto"/>
        </w:rPr>
        <w:t>On June 24, 2026, the Company issued a press release announcing an update on its interactions with the U.S. Food and Drug Administration (“FDA”). A copy of the press release is attached as Exhibit 99.1 to this Current Report on Form 8-K and is incorporated herein by reference.</w:t>
      </w:r>
    </w:p>
    <w:p>
      <w:pPr>
        <w:spacing w:after="0" w:line="100" w:lineRule="exact"/>
        <w:rPr>
          <w:sz w:val="20"/>
          <w:szCs w:val="20"/>
          <w:color w:val="auto"/>
        </w:rPr>
      </w:pPr>
    </w:p>
    <w:p>
      <w:pPr>
        <w:ind w:left="640" w:right="839" w:firstLine="309"/>
        <w:spacing w:after="0" w:line="309" w:lineRule="auto"/>
        <w:rPr>
          <w:sz w:val="20"/>
          <w:szCs w:val="20"/>
          <w:color w:val="auto"/>
        </w:rPr>
      </w:pPr>
      <w:r>
        <w:rPr>
          <w:rFonts w:ascii="Times New Roman" w:cs="Times New Roman" w:eastAsia="Times New Roman" w:hAnsi="Times New Roman"/>
          <w:sz w:val="12"/>
          <w:szCs w:val="12"/>
          <w:color w:val="auto"/>
        </w:rPr>
        <w:t>On June 24, 2026, the Company issued a press release announcing that it has entered into the Purchase Agreement and provided other business updates. A copy of the press release is attached as Exhibit 99.2 to this Current Report on Form 8-K and is incorporated herein by reference.</w:t>
      </w:r>
    </w:p>
    <w:p>
      <w:pPr>
        <w:spacing w:after="0" w:line="100"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The Company estimates, based on its current operating plan, that the net proceeds from the Private Placement, together with its current cash and cash equivalents (but excluding any additional proceeds that may be received upon the exercise of Series A Warrants or Series B Warrants), will be sufficient to fund its operations into the second half of 2027.</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Included as Exhibit 99.3 to this Form 8-K is a slide presentation titled “Investor Update” dated June 2026, that is incorporated herein by reference.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Company intends to utilize this presentation and its contents in various meetings with securities analysts, investors and others.</w:t>
      </w:r>
    </w:p>
    <w:p>
      <w:pPr>
        <w:spacing w:after="0" w:line="141"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of this Current Report on Form 8-K, including the attached Exhibits 99.1, 99.2 and 99.3, is being furnished and shall not be deemed “filed” for the purposes of Section 18 of the Securities Exchange Act of 1934, as amended, or otherwise subject to the liabilities of that section or Sections 11 and 12(a)(2) of the Securities Act of 1933, as amended. The information contained in this Item 7.01, including Exhibits 99.1, 99.2, and 99.3, shall not be incorporated by reference into any filing we make with the SEC whether before or after the date hereof, regardless of any general incorporation language in such filing.</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Company Update</w:t>
      </w:r>
    </w:p>
    <w:p>
      <w:pPr>
        <w:spacing w:after="0" w:line="80" w:lineRule="exact"/>
        <w:rPr>
          <w:sz w:val="20"/>
          <w:szCs w:val="20"/>
          <w:color w:val="auto"/>
        </w:rPr>
      </w:pPr>
    </w:p>
    <w:p>
      <w:pPr>
        <w:ind w:left="640" w:right="739" w:firstLine="309"/>
        <w:spacing w:after="0" w:line="233" w:lineRule="auto"/>
        <w:rPr>
          <w:sz w:val="20"/>
          <w:szCs w:val="20"/>
          <w:color w:val="auto"/>
        </w:rPr>
      </w:pPr>
      <w:r>
        <w:rPr>
          <w:rFonts w:ascii="Times New Roman" w:cs="Times New Roman" w:eastAsia="Times New Roman" w:hAnsi="Times New Roman"/>
          <w:sz w:val="13"/>
          <w:szCs w:val="13"/>
          <w:color w:val="auto"/>
        </w:rPr>
        <w:t>On June 24, 2026, the Company announced that it intends to use the proceeds of the Private Placement to advance a focused pulmonary hypertension (“PH”) strategy built on its CRAC channel inhibition platform. The Company plans to conduct a capital-efficient Phase 1b proof-of-concept study evaluating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its intravenous CRAC channel inhibitor, in patients with pulmonary arterial hypertension (“PAH”), with data anticipated mid-2027. This study is intended to generate early human evidence for CRAC channel inhibition in PH and de-risk the development of CM5480, the Company’s proprietary oral CRAC channel inhibitor candidate for chronic treatment, for which Investigational New Drug (“IND”) application clearance is anticipated in mid-2027. Proceeds are also expected to support continued IND-enabling activities for CM5480 and general corporate purposes.</w:t>
      </w:r>
    </w:p>
    <w:p>
      <w:pPr>
        <w:sectPr>
          <w:pgSz w:w="11900" w:h="16838" w:orient="portrait"/>
          <w:cols w:equalWidth="0" w:num="1">
            <w:col w:w="9019"/>
          </w:cols>
          <w:pgMar w:left="1440" w:top="250" w:right="1440" w:bottom="1440" w:gutter="0" w:footer="0" w:header="0"/>
        </w:sectPr>
      </w:pPr>
    </w:p>
    <w:bookmarkStart w:id="4" w:name="page5"/>
    <w:bookmarkEnd w:id="4"/>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PH includes a diverse group of diseases, but progressive right ventricular dysfunction is a shared consequence and a key determinant of survival across disease groups. Orai1, the pore-forming subunit of the CRAC channel, is upregulated in diseased pulmonary vasculature and cardiac tissue, where persistent CRAC channel signaling has been linked to proliferation, inflammation, vasoconstriction, fibrosis, and remodeling. In preclinical PH models, CM5480 and other CRAC channel inhibitors have been observed to reduce pulmonary vascular resistance, improve cardiac output, reduce right ventricular hypertrophy and fibrosis, and improve left ventricular function. In a rodent pulmonary artery banding model, which isolates cardiac effects from pulmonary vascular effects, CRAC channel inhibition with CM5480 also demonstrated evidence of direct protective activity in the right ventricle.</w:t>
      </w:r>
    </w:p>
    <w:p>
      <w:pPr>
        <w:spacing w:after="0" w:line="12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planned Auxora Phase 1b study is designed to deliver an early, capital-efficient clinical signal on CRAC channel inhibition in PH. Auxora has been evaluated in more than 350 patients across completed and ongoing clinical trials. Following the Company’s pause of enrollment in the Phase 2 KOURAGE trial of Auxora in acute kidney injury (“AKI”), comprehensive internal and external safety reviews identified no evidence of drug-related toxicity. The Company subsequently submitted a protocol amendment and interim safety data to the FDA, and the agency completed its review without comments or questions, allowing clinical development of Auxora to proceed. The Company believes Auxora’s established safety profile supports its continued development across the PH program and other indications.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FDA Update</w:t>
      </w:r>
    </w:p>
    <w:p>
      <w:pPr>
        <w:spacing w:after="0" w:line="80" w:lineRule="exact"/>
        <w:rPr>
          <w:sz w:val="20"/>
          <w:szCs w:val="20"/>
          <w:color w:val="auto"/>
        </w:rPr>
      </w:pPr>
    </w:p>
    <w:p>
      <w:pPr>
        <w:ind w:left="640" w:right="659" w:firstLine="309"/>
        <w:spacing w:after="0" w:line="264" w:lineRule="auto"/>
        <w:rPr>
          <w:sz w:val="20"/>
          <w:szCs w:val="20"/>
          <w:color w:val="auto"/>
        </w:rPr>
      </w:pPr>
      <w:r>
        <w:rPr>
          <w:rFonts w:ascii="Times New Roman" w:cs="Times New Roman" w:eastAsia="Times New Roman" w:hAnsi="Times New Roman"/>
          <w:sz w:val="13"/>
          <w:szCs w:val="13"/>
          <w:color w:val="auto"/>
        </w:rPr>
        <w:t>On June 24, 2026, the Company announced that the FDA has reviewed a protocol amendment and interim safety data for the Company’s Phase 2 KOURAGE trial in patients with Stage 2 or Stage 3 AKI with associated acute hypoxemic respiratory failure (“AHRF”). Following the applicable review period, the Company has received no comments from the FDA on the submission, meaning that the Company may continue to dose patients with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in the study.</w:t>
      </w:r>
    </w:p>
    <w:p>
      <w:pPr>
        <w:spacing w:after="0" w:line="37"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As previously disclosed, in January 2026, the Company announced a pause in enrollment for the Phase 2 KOURAGE trial following a recommendation from the trial’s Independent Data Monitoring Committee (the “IDMC”) regarding a safety concern relating to a mortality imbalance that warranted reevaluation of the study design. The IDMC did not identify evidence of drug-related toxicity, and the Company’s comprehensive review, performed in conjunction with external experts, reached the same conclusion while identifying imbalances in patients’ baseline disease severity that necessitated revisions to the protocol design.</w:t>
      </w:r>
    </w:p>
    <w:p>
      <w:pPr>
        <w:spacing w:after="0" w:line="13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In March 2026, the Company submitted an amendment to the KOURAGE trial to address design issues, which included refinements to patient inclusion criteria and changes to stratification methodology. The submission included a comprehensive safety assessment of the 107 patients who were dosed prior to the pause in enrollment, including cause-of-death information for all deaths and an analysis of serious adverse events (“SAEs”). Based on the Company’s review, the observed SAEs were consistent with previous clinical experience with Auxora and did not appear to be drug related. The FDA has confirmed that the Clinical Pharmacology team of the Division of Cardiology and Nephrology has no comments regarding this submission. As the KOURAGE trial was never placed on clinical hold, and the decision to pause enrollment was made solely at the discretion of the Company, the FDA is not obligated to respond to the IND amendment. Following more than 60 days of review, the information contained in the amendment has resulted in no comments or questions from the FDA and no clinical hold communication.</w:t>
      </w:r>
    </w:p>
    <w:p>
      <w:pPr>
        <w:spacing w:after="0" w:line="139"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The Company expects feedback from the FDA on the design of a potential pivotal program evaluating Auxora in acute pancreatitis in the third quarter of 2026.</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1019" w:firstLine="309"/>
        <w:spacing w:after="0" w:line="267" w:lineRule="auto"/>
        <w:rPr>
          <w:sz w:val="20"/>
          <w:szCs w:val="20"/>
          <w:color w:val="auto"/>
        </w:rPr>
      </w:pPr>
      <w:r>
        <w:rPr>
          <w:rFonts w:ascii="Times New Roman" w:cs="Times New Roman" w:eastAsia="Times New Roman" w:hAnsi="Times New Roman"/>
          <w:sz w:val="13"/>
          <w:szCs w:val="13"/>
          <w:color w:val="auto"/>
        </w:rPr>
        <w:t>This Current Report on Form 8-K (this “Report”) contains forward-looking statements which include, but are not limited to, the Company’s statements regarding the timing, size, and completion of the proposed Private</w:t>
      </w:r>
    </w:p>
    <w:p>
      <w:pPr>
        <w:sectPr>
          <w:pgSz w:w="11900" w:h="16838" w:orient="portrait"/>
          <w:cols w:equalWidth="0" w:num="1">
            <w:col w:w="9019"/>
          </w:cols>
          <w:pgMar w:left="1440" w:top="250" w:right="1440" w:bottom="1440" w:gutter="0" w:footer="0" w:header="0"/>
        </w:sectPr>
      </w:pPr>
    </w:p>
    <w:bookmarkStart w:id="5" w:name="page6"/>
    <w:bookmarkEnd w:id="5"/>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Placement; the expected gross proceeds from the Private Placement, including any additional gross proceeds that may be received by the Company upon exercise, if any, of the Warrants that are issuable upon Stockholder Approval; the anticipated use of proceeds and expected cash runway; the Company’s planned and ongoing preclinical and clinical activities and their expected timing, including the planned Auxora Phase 1b study in PAH and the anticipated timing of data therefrom; the planned IND submission for CM5480 and the expected timing for clearance thereof; the potential of CRAC channel inhibition and of the Company’s product candidates to provide therapeutic benefit in PAH, PH, and other diseases; the expectation that the Phase 1b study of Auxora in PAH will be capital efficient and potentially generate early human evidence for CRAC channel inhibition in PH; the belief that CRAC channel inhibition has the potential to be the first therapy to provide direct right ventricular support and anti-remodeling activity; the Company’s expectation to receive feedback from the FDA regarding the design of a potential pivotal program evaluating Auxora in acute pancreatitis in the third quarter of 2026; and the Company’s belief that Auxora’s safety profile supports its continued development across the PH program and other indications. These forward-looking statements are subject to the safe harbor provisions under the Private Securities Litigation Reform Act of 1995. The Company’s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Company’s ability to satisfy the closing conditions of the Private Placement; the Company’s ability to obtain Stockholder Approval to issue the Warrants; even if the Warrants are issued the holders may never exercise such Warrants and the Company may not receive any additional proceeds therefrom; the impact of fluctuations in global financial markets on the Company’s business and the actions it may take in response thereto; the Company’s ability to execute its plans and strategies; the ability to obtain and maintain regulatory approval for Auxora and CM5480; results from clinical trials or preclinical studies may not be indicative of results that may be observed in the future; potential safety and other complications from Auxora and CM5480; the scope, progress and expansion of developing and commercializing Auxora and CM5480; the size and growth of the market therefor and the rate and degree of market acceptance thereof; economic, business, competitive, and/or regulatory factors affecting the business of the Company generally; the Company’s ability to protect its intellectual property position; the impact of government laws and regulations; and the Company’s financial position and need for additional capital. Additional risks and uncertainties that could cause actual outcomes and results to differ materially from those contemplated by the forward-looking statements are included under the caption “Risk Factors” in the Company’s Quarterly Report on Form 10-Q for the quarter ended March 31, 2026, filed with the SEC on May 12, 2026, and elsewhere in the Company’s subsequent reports on Form 10-K, Form 10-Q or Form 8-K filed with the SEC from time to time and available at www.sec.gov. These documents can be accessed on the Company’s web page at ir.calcimedica.com/financials-filings/sec-filings. The forward-looking statements contained herein are made as of the date hereof, and the Company undertakes no obligation to update them after this date, except as required by law.</w:t>
      </w:r>
    </w:p>
    <w:p>
      <w:pPr>
        <w:spacing w:after="0" w:line="3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(d) Exhibits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120" w:type="dxa"/>
            <w:vAlign w:val="bottom"/>
            <w:gridSpan w:val="7"/>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6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7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4.1</w:t>
            </w:r>
          </w:p>
        </w:tc>
        <w:tc>
          <w:tcPr>
            <w:tcW w:w="300" w:type="dxa"/>
            <w:vAlign w:val="bottom"/>
          </w:tcPr>
          <w:p>
            <w:pPr>
              <w:spacing w:after="0"/>
              <w:rPr>
                <w:sz w:val="15"/>
                <w:szCs w:val="15"/>
                <w:color w:val="auto"/>
              </w:rPr>
            </w:pPr>
          </w:p>
        </w:tc>
        <w:tc>
          <w:tcPr>
            <w:tcW w:w="146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4"/>
              </w:rPr>
              <w:t>Form of Pre-Funded Warrant</w:t>
            </w:r>
          </w:p>
        </w:tc>
        <w:tc>
          <w:tcPr>
            <w:tcW w:w="5660" w:type="dxa"/>
            <w:vAlign w:val="bottom"/>
            <w:tcBorders>
              <w:top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300" w:type="dxa"/>
            <w:vAlign w:val="bottom"/>
          </w:tcPr>
          <w:p>
            <w:pPr>
              <w:spacing w:after="0"/>
              <w:rPr>
                <w:sz w:val="18"/>
                <w:szCs w:val="18"/>
                <w:color w:val="auto"/>
              </w:rPr>
            </w:pPr>
          </w:p>
        </w:tc>
        <w:tc>
          <w:tcPr>
            <w:tcW w:w="1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Form of Series A Warrant</w:t>
            </w:r>
          </w:p>
        </w:tc>
        <w:tc>
          <w:tcPr>
            <w:tcW w:w="58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300" w:type="dxa"/>
            <w:vAlign w:val="bottom"/>
          </w:tcPr>
          <w:p>
            <w:pPr>
              <w:spacing w:after="0"/>
              <w:rPr>
                <w:sz w:val="18"/>
                <w:szCs w:val="18"/>
                <w:color w:val="auto"/>
              </w:rPr>
            </w:pPr>
          </w:p>
        </w:tc>
        <w:tc>
          <w:tcPr>
            <w:tcW w:w="1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4"/>
              </w:rPr>
              <w:t>Form of Series B Warrant</w:t>
            </w:r>
          </w:p>
        </w:tc>
        <w:tc>
          <w:tcPr>
            <w:tcW w:w="58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300" w:type="dxa"/>
            <w:vAlign w:val="bottom"/>
          </w:tcPr>
          <w:p>
            <w:pPr>
              <w:spacing w:after="0"/>
              <w:rPr>
                <w:sz w:val="18"/>
                <w:szCs w:val="18"/>
                <w:color w:val="auto"/>
              </w:rPr>
            </w:pPr>
          </w:p>
        </w:tc>
        <w:tc>
          <w:tcPr>
            <w:tcW w:w="7120" w:type="dxa"/>
            <w:vAlign w:val="bottom"/>
            <w:gridSpan w:val="7"/>
          </w:tcPr>
          <w:p>
            <w:pPr>
              <w:spacing w:after="0"/>
              <w:rPr>
                <w:sz w:val="20"/>
                <w:szCs w:val="20"/>
                <w:color w:val="auto"/>
              </w:rPr>
            </w:pPr>
            <w:r>
              <w:rPr>
                <w:rFonts w:ascii="Times New Roman" w:cs="Times New Roman" w:eastAsia="Times New Roman" w:hAnsi="Times New Roman"/>
                <w:sz w:val="13"/>
                <w:szCs w:val="13"/>
                <w:color w:val="0000EE"/>
              </w:rPr>
              <w:t>Form of Securities Purchase Agreement, dated June 23, 2026, by and between CalciMedica, Inc. and each of the Investors party thereto</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8"/>
                <w:szCs w:val="18"/>
                <w:color w:val="auto"/>
              </w:rPr>
            </w:pPr>
          </w:p>
        </w:tc>
        <w:tc>
          <w:tcPr>
            <w:tcW w:w="68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Press Release dated June 24, 2026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1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5"/>
              </w:rPr>
              <w:t>Press Release, dated June 24, 2026</w:t>
            </w:r>
          </w:p>
        </w:tc>
        <w:tc>
          <w:tcPr>
            <w:tcW w:w="5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300" w:type="dxa"/>
            <w:vAlign w:val="bottom"/>
          </w:tcPr>
          <w:p>
            <w:pPr>
              <w:spacing w:after="0"/>
              <w:rPr>
                <w:sz w:val="18"/>
                <w:szCs w:val="18"/>
                <w:color w:val="auto"/>
              </w:rPr>
            </w:pPr>
          </w:p>
        </w:tc>
        <w:tc>
          <w:tcPr>
            <w:tcW w:w="7120" w:type="dxa"/>
            <w:vAlign w:val="bottom"/>
            <w:gridSpan w:val="7"/>
          </w:tcPr>
          <w:p>
            <w:pPr>
              <w:spacing w:after="0"/>
              <w:rPr>
                <w:sz w:val="20"/>
                <w:szCs w:val="20"/>
                <w:color w:val="auto"/>
              </w:rPr>
            </w:pPr>
            <w:r>
              <w:rPr>
                <w:rFonts w:ascii="Times New Roman" w:cs="Times New Roman" w:eastAsia="Times New Roman" w:hAnsi="Times New Roman"/>
                <w:sz w:val="13"/>
                <w:szCs w:val="13"/>
                <w:color w:val="0000EE"/>
              </w:rPr>
              <w:t>Investor Update, dated June 2026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262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CalciMedica, Inc.</w:t>
            </w:r>
          </w:p>
        </w:tc>
        <w:tc>
          <w:tcPr>
            <w:tcW w:w="2680" w:type="dxa"/>
            <w:vAlign w:val="bottom"/>
          </w:tcPr>
          <w:p>
            <w:pPr>
              <w:spacing w:after="0"/>
              <w:rPr>
                <w:sz w:val="14"/>
                <w:szCs w:val="14"/>
                <w:color w:val="auto"/>
              </w:rPr>
            </w:pP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Date: June 24, 2026</w:t>
            </w:r>
          </w:p>
        </w:tc>
        <w:tc>
          <w:tcPr>
            <w:tcW w:w="262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By:</w:t>
            </w:r>
          </w:p>
        </w:tc>
        <w:tc>
          <w:tcPr>
            <w:tcW w:w="2680" w:type="dxa"/>
            <w:vAlign w:val="bottom"/>
          </w:tcPr>
          <w:p>
            <w:pPr>
              <w:jc w:val="center"/>
              <w:ind w:right="677"/>
              <w:spacing w:after="0"/>
              <w:rPr>
                <w:sz w:val="20"/>
                <w:szCs w:val="20"/>
                <w:color w:val="auto"/>
              </w:rPr>
            </w:pPr>
            <w:r>
              <w:rPr>
                <w:rFonts w:ascii="Times New Roman" w:cs="Times New Roman" w:eastAsia="Times New Roman" w:hAnsi="Times New Roman"/>
                <w:sz w:val="13"/>
                <w:szCs w:val="13"/>
                <w:i w:val="1"/>
                <w:iCs w:val="1"/>
                <w:color w:val="auto"/>
                <w:w w:val="95"/>
              </w:rPr>
              <w:t>/s/ A. Rachel Leheny, Ph.D.</w:t>
            </w:r>
          </w:p>
        </w:tc>
      </w:tr>
      <w:tr>
        <w:trPr>
          <w:trHeight w:val="138"/>
        </w:trPr>
        <w:tc>
          <w:tcPr>
            <w:tcW w:w="2440" w:type="dxa"/>
            <w:vAlign w:val="bottom"/>
          </w:tcPr>
          <w:p>
            <w:pPr>
              <w:spacing w:after="0"/>
              <w:rPr>
                <w:sz w:val="11"/>
                <w:szCs w:val="11"/>
                <w:color w:val="auto"/>
              </w:rPr>
            </w:pPr>
          </w:p>
        </w:tc>
        <w:tc>
          <w:tcPr>
            <w:tcW w:w="1880" w:type="dxa"/>
            <w:vAlign w:val="bottom"/>
          </w:tcPr>
          <w:p>
            <w:pPr>
              <w:ind w:left="144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74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tcPr>
          <w:p>
            <w:pPr>
              <w:jc w:val="center"/>
              <w:ind w:right="677"/>
              <w:spacing w:after="0" w:line="138" w:lineRule="exact"/>
              <w:rPr>
                <w:sz w:val="20"/>
                <w:szCs w:val="20"/>
                <w:color w:val="auto"/>
              </w:rPr>
            </w:pPr>
            <w:r>
              <w:rPr>
                <w:rFonts w:ascii="Times New Roman" w:cs="Times New Roman" w:eastAsia="Times New Roman" w:hAnsi="Times New Roman"/>
                <w:sz w:val="13"/>
                <w:szCs w:val="13"/>
                <w:color w:val="auto"/>
                <w:w w:val="96"/>
              </w:rPr>
              <w:t>A. Rachel Leheny, Ph.D.</w:t>
            </w:r>
          </w:p>
        </w:tc>
      </w:tr>
      <w:tr>
        <w:trPr>
          <w:trHeight w:val="165"/>
        </w:trPr>
        <w:tc>
          <w:tcPr>
            <w:tcW w:w="2440" w:type="dxa"/>
            <w:vAlign w:val="bottom"/>
          </w:tcPr>
          <w:p>
            <w:pPr>
              <w:spacing w:after="0"/>
              <w:rPr>
                <w:sz w:val="14"/>
                <w:szCs w:val="14"/>
                <w:color w:val="auto"/>
              </w:rPr>
            </w:pPr>
          </w:p>
        </w:tc>
        <w:tc>
          <w:tcPr>
            <w:tcW w:w="262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Title:</w:t>
            </w:r>
          </w:p>
        </w:tc>
        <w:tc>
          <w:tcPr>
            <w:tcW w:w="2680" w:type="dxa"/>
            <w:vAlign w:val="bottom"/>
          </w:tcPr>
          <w:p>
            <w:pPr>
              <w:jc w:val="center"/>
              <w:ind w:right="677"/>
              <w:spacing w:after="0"/>
              <w:rPr>
                <w:sz w:val="20"/>
                <w:szCs w:val="20"/>
                <w:color w:val="auto"/>
              </w:rPr>
            </w:pPr>
            <w:r>
              <w:rPr>
                <w:rFonts w:ascii="Times New Roman" w:cs="Times New Roman" w:eastAsia="Times New Roman" w:hAnsi="Times New Roman"/>
                <w:sz w:val="13"/>
                <w:szCs w:val="13"/>
                <w:color w:val="auto"/>
                <w:w w:val="97"/>
              </w:rPr>
              <w:t>Chief Executive Officer</w:t>
            </w:r>
          </w:p>
        </w:tc>
      </w:tr>
    </w:tbl>
    <w:p>
      <w:pPr>
        <w:sectPr>
          <w:pgSz w:w="11900" w:h="16838" w:orient="portrait"/>
          <w:cols w:equalWidth="0" w:num="1">
            <w:col w:w="9019"/>
          </w:cols>
          <w:pgMar w:left="1440" w:top="248" w:right="1440" w:bottom="1440" w:gutter="0" w:footer="0" w:header="0"/>
        </w:sectPr>
      </w:pPr>
    </w:p>
    <w:bookmarkStart w:id="7" w:name="page8"/>
    <w:bookmarkEnd w:id="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15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2"/>
          <w:szCs w:val="12"/>
          <w:i w:val="1"/>
          <w:iCs w:val="1"/>
          <w:color w:val="auto"/>
        </w:rPr>
        <w:t>Execution Version</w:t>
      </w:r>
    </w:p>
    <w:p>
      <w:pPr>
        <w:spacing w:after="0" w:line="165"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b w:val="1"/>
          <w:bCs w:val="1"/>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PRE-FUNDED WARRANT TO PURCHASE COMMON STOCK</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INC.</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Warrant No. [ •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Number of Shares: [ • ]</w:t>
      </w:r>
    </w:p>
    <w:p>
      <w:pPr>
        <w:spacing w:after="0" w:line="1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(subject to adjustment)</w:t>
      </w:r>
    </w:p>
    <w:p>
      <w:pPr>
        <w:spacing w:after="0" w:line="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2"/>
          <w:szCs w:val="12"/>
          <w:color w:val="auto"/>
        </w:rPr>
        <w:t>Original Issue Date: [•], 2026</w:t>
      </w:r>
    </w:p>
    <w:p>
      <w:pPr>
        <w:spacing w:after="0" w:line="150" w:lineRule="exact"/>
        <w:rPr>
          <w:sz w:val="20"/>
          <w:szCs w:val="20"/>
          <w:color w:val="auto"/>
        </w:rPr>
      </w:pPr>
    </w:p>
    <w:p>
      <w:pPr>
        <w:sectPr>
          <w:pgSz w:w="11900" w:h="16838" w:orient="portrait"/>
          <w:cols w:equalWidth="0" w:num="2">
            <w:col w:w="6160" w:space="720"/>
            <w:col w:w="2139"/>
          </w:cols>
          <w:pgMar w:left="1440" w:top="125" w:right="1440" w:bottom="1440" w:gutter="0" w:footer="0" w:header="0"/>
          <w:type w:val="continuous"/>
        </w:sect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CalciMedica, Inc., </w:t>
      </w:r>
      <w:r>
        <w:rPr>
          <w:rFonts w:ascii="Times New Roman" w:cs="Times New Roman" w:eastAsia="Times New Roman" w:hAnsi="Times New Roman"/>
          <w:sz w:val="13"/>
          <w:szCs w:val="13"/>
          <w:color w:val="auto"/>
        </w:rPr>
        <w:t>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hereby certifies that, for good and valuable consideration, the receipt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sufficiency of which are hereby acknowledged, [ • ] or its registered assigns (the “</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is entitled, subject to the terms set forth below, to purchase from the Company up to a total of [ • ] shares of common stock, $0.0001 par value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of the Company (each such share, a “</w:t>
      </w:r>
      <w:r>
        <w:rPr>
          <w:rFonts w:ascii="Times New Roman" w:cs="Times New Roman" w:eastAsia="Times New Roman" w:hAnsi="Times New Roman"/>
          <w:sz w:val="13"/>
          <w:szCs w:val="13"/>
          <w:b w:val="1"/>
          <w:bCs w:val="1"/>
          <w:i w:val="1"/>
          <w:iCs w:val="1"/>
          <w:color w:val="auto"/>
        </w:rPr>
        <w:t>Warrant Share</w:t>
      </w:r>
      <w:r>
        <w:rPr>
          <w:rFonts w:ascii="Times New Roman" w:cs="Times New Roman" w:eastAsia="Times New Roman" w:hAnsi="Times New Roman"/>
          <w:sz w:val="13"/>
          <w:szCs w:val="13"/>
          <w:color w:val="auto"/>
        </w:rPr>
        <w:t>” and all such shares, 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xml:space="preserve">”) at the Exercise Price (as defined in </w:t>
      </w:r>
      <w:r>
        <w:rPr>
          <w:rFonts w:ascii="Times New Roman" w:cs="Times New Roman" w:eastAsia="Times New Roman" w:hAnsi="Times New Roman"/>
          <w:sz w:val="13"/>
          <w:szCs w:val="13"/>
          <w:u w:val="single" w:color="auto"/>
          <w:color w:val="auto"/>
        </w:rPr>
        <w:t>Section 4(b)</w:t>
      </w:r>
      <w:r>
        <w:rPr>
          <w:rFonts w:ascii="Times New Roman" w:cs="Times New Roman" w:eastAsia="Times New Roman" w:hAnsi="Times New Roman"/>
          <w:sz w:val="13"/>
          <w:szCs w:val="13"/>
          <w:color w:val="auto"/>
        </w:rPr>
        <w:t xml:space="preserve"> below),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3"/>
          <w:szCs w:val="13"/>
          <w:b w:val="1"/>
          <w:bCs w:val="1"/>
          <w:i w:val="1"/>
          <w:iCs w:val="1"/>
          <w:color w:val="auto"/>
        </w:rPr>
        <w:t>Warrant</w:t>
      </w:r>
      <w:r>
        <w:rPr>
          <w:rFonts w:ascii="Times New Roman" w:cs="Times New Roman" w:eastAsia="Times New Roman" w:hAnsi="Times New Roman"/>
          <w:sz w:val="13"/>
          <w:szCs w:val="13"/>
          <w:color w:val="auto"/>
        </w:rPr>
        <w:t>”) at any time and from time to time on or after the date hereof (the “</w:t>
      </w:r>
      <w:r>
        <w:rPr>
          <w:rFonts w:ascii="Times New Roman" w:cs="Times New Roman" w:eastAsia="Times New Roman" w:hAnsi="Times New Roman"/>
          <w:sz w:val="13"/>
          <w:szCs w:val="13"/>
          <w:b w:val="1"/>
          <w:bCs w:val="1"/>
          <w:i w:val="1"/>
          <w:iCs w:val="1"/>
          <w:color w:val="auto"/>
        </w:rPr>
        <w:t>Original Issue Date</w:t>
      </w:r>
      <w:r>
        <w:rPr>
          <w:rFonts w:ascii="Times New Roman" w:cs="Times New Roman" w:eastAsia="Times New Roman" w:hAnsi="Times New Roman"/>
          <w:sz w:val="13"/>
          <w:szCs w:val="13"/>
          <w:color w:val="auto"/>
        </w:rPr>
        <w:t>”), subject to the following terms and conditions:</w:t>
      </w:r>
    </w:p>
    <w:p>
      <w:pPr>
        <w:spacing w:after="0" w:line="132" w:lineRule="exact"/>
        <w:rPr>
          <w:sz w:val="20"/>
          <w:szCs w:val="20"/>
          <w:color w:val="auto"/>
        </w:rPr>
      </w:pPr>
    </w:p>
    <w:p>
      <w:pPr>
        <w:ind w:left="1080" w:hanging="133"/>
        <w:spacing w:after="0"/>
        <w:tabs>
          <w:tab w:leader="none" w:pos="1080" w:val="left"/>
        </w:tabs>
        <w:numPr>
          <w:ilvl w:val="0"/>
          <w:numId w:val="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Definitions</w:t>
      </w:r>
      <w:r>
        <w:rPr>
          <w:rFonts w:ascii="Times New Roman" w:cs="Times New Roman" w:eastAsia="Times New Roman" w:hAnsi="Times New Roman"/>
          <w:sz w:val="13"/>
          <w:szCs w:val="13"/>
          <w:color w:val="auto"/>
        </w:rPr>
        <w:t>. For purposes of this Warrant, the following terms shall have the following meanings:</w:t>
      </w:r>
    </w:p>
    <w:p>
      <w:pPr>
        <w:spacing w:after="0" w:line="154" w:lineRule="exact"/>
        <w:rPr>
          <w:sz w:val="20"/>
          <w:szCs w:val="20"/>
          <w:color w:val="auto"/>
        </w:rPr>
      </w:pPr>
    </w:p>
    <w:p>
      <w:pPr>
        <w:ind w:left="640" w:right="77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35" w:lineRule="exact"/>
        <w:rPr>
          <w:sz w:val="20"/>
          <w:szCs w:val="20"/>
          <w:color w:val="auto"/>
        </w:rPr>
      </w:pPr>
    </w:p>
    <w:p>
      <w:pPr>
        <w:ind w:left="640" w:right="759" w:firstLine="696"/>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Attribution Parties</w:t>
      </w:r>
      <w:r>
        <w:rPr>
          <w:rFonts w:ascii="Times New Roman" w:cs="Times New Roman" w:eastAsia="Times New Roman" w:hAnsi="Times New Roman"/>
          <w:sz w:val="13"/>
          <w:szCs w:val="13"/>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31" w:lineRule="exact"/>
        <w:rPr>
          <w:sz w:val="20"/>
          <w:szCs w:val="20"/>
          <w:color w:val="auto"/>
        </w:rPr>
      </w:pPr>
    </w:p>
    <w:p>
      <w:pPr>
        <w:ind w:left="640" w:right="69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Sale Price</w:t>
      </w:r>
      <w:r>
        <w:rPr>
          <w:rFonts w:ascii="Times New Roman" w:cs="Times New Roman" w:eastAsia="Times New Roman" w:hAnsi="Times New Roman"/>
          <w:sz w:val="13"/>
          <w:szCs w:val="13"/>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type w:val="continuous"/>
        </w:sectPr>
      </w:pPr>
    </w:p>
    <w:bookmarkStart w:id="8" w:name="page9"/>
    <w:bookmarkEnd w:id="8"/>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31"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means the United States Securities and Exchange Commission.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Group</w:t>
      </w:r>
      <w:r>
        <w:rPr>
          <w:rFonts w:ascii="Times New Roman" w:cs="Times New Roman" w:eastAsia="Times New Roman" w:hAnsi="Times New Roman"/>
          <w:sz w:val="12"/>
          <w:szCs w:val="12"/>
          <w:color w:val="auto"/>
        </w:rPr>
        <w:t>” shall have the meaning ascribed to it in Section 13(d) of the Exchange Act, and all related rules, regulations and jurisprudence.</w:t>
      </w:r>
    </w:p>
    <w:p>
      <w:pPr>
        <w:spacing w:after="0" w:line="165" w:lineRule="exact"/>
        <w:rPr>
          <w:sz w:val="20"/>
          <w:szCs w:val="20"/>
          <w:color w:val="auto"/>
        </w:rPr>
      </w:pPr>
    </w:p>
    <w:p>
      <w:pPr>
        <w:ind w:left="640" w:right="113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a limited liability company, a partnership, a joint venture, a corporation, a trust, an unincorporated organization, any other entity and a government or any department or agency thereof.</w:t>
      </w:r>
    </w:p>
    <w:p>
      <w:pPr>
        <w:spacing w:after="0" w:line="119" w:lineRule="exact"/>
        <w:rPr>
          <w:sz w:val="20"/>
          <w:szCs w:val="20"/>
          <w:color w:val="auto"/>
        </w:rPr>
      </w:pPr>
    </w:p>
    <w:p>
      <w:pPr>
        <w:ind w:left="640" w:right="9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Principal Trading Market</w:t>
      </w:r>
      <w:r>
        <w:rPr>
          <w:rFonts w:ascii="Times New Roman" w:cs="Times New Roman" w:eastAsia="Times New Roman" w:hAnsi="Times New Roman"/>
          <w:sz w:val="13"/>
          <w:szCs w:val="13"/>
          <w:color w:val="auto"/>
        </w:rPr>
        <w:t>” means the national securities exchange or other trading market on which the Common Stock is primarily listed on and quoted for trading, which, as of the Original Issue Date, shall be The Nasdaq Capital Market.</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640" w:right="75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Standard Settlement Period</w:t>
      </w:r>
      <w:r>
        <w:rPr>
          <w:rFonts w:ascii="Times New Roman" w:cs="Times New Roman" w:eastAsia="Times New Roman" w:hAnsi="Times New Roman"/>
          <w:sz w:val="13"/>
          <w:szCs w:val="13"/>
          <w:color w:val="auto"/>
        </w:rPr>
        <w:t xml:space="preserve">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means any weekday on which the Principal Trading Market is normally open for trading.</w:t>
      </w:r>
    </w:p>
    <w:p>
      <w:pPr>
        <w:spacing w:after="0" w:line="154" w:lineRule="exact"/>
        <w:rPr>
          <w:sz w:val="20"/>
          <w:szCs w:val="20"/>
          <w:color w:val="auto"/>
        </w:rPr>
      </w:pPr>
    </w:p>
    <w:p>
      <w:pPr>
        <w:ind w:left="640" w:right="10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Transfer Agent</w:t>
      </w:r>
      <w:r>
        <w:rPr>
          <w:rFonts w:ascii="Times New Roman" w:cs="Times New Roman" w:eastAsia="Times New Roman" w:hAnsi="Times New Roman"/>
          <w:sz w:val="13"/>
          <w:szCs w:val="13"/>
          <w:color w:val="auto"/>
        </w:rPr>
        <w:t>” means Equiniti Trust Company, LLC, the Company’s transfer agent and registrar for the Common Stock, and any successor appointed in such capacity.</w:t>
      </w:r>
    </w:p>
    <w:p>
      <w:pPr>
        <w:spacing w:after="0" w:line="119" w:lineRule="exact"/>
        <w:rPr>
          <w:sz w:val="20"/>
          <w:szCs w:val="20"/>
          <w:color w:val="auto"/>
        </w:rPr>
      </w:pPr>
    </w:p>
    <w:p>
      <w:pPr>
        <w:ind w:left="640" w:right="659" w:firstLine="307"/>
        <w:spacing w:after="0" w:line="250" w:lineRule="auto"/>
        <w:tabs>
          <w:tab w:leader="none" w:pos="1075"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Issuance of Securities; Registration of Warrants</w:t>
      </w:r>
      <w:r>
        <w:rPr>
          <w:rFonts w:ascii="Times New Roman" w:cs="Times New Roman" w:eastAsia="Times New Roman" w:hAnsi="Times New Roman"/>
          <w:sz w:val="13"/>
          <w:szCs w:val="13"/>
          <w:color w:val="auto"/>
        </w:rPr>
        <w:t>. The Company shall register ownership of this Warrant, upon records to be maintained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for that purpose (the “</w:t>
      </w:r>
      <w:r>
        <w:rPr>
          <w:rFonts w:ascii="Times New Roman" w:cs="Times New Roman" w:eastAsia="Times New Roman" w:hAnsi="Times New Roman"/>
          <w:sz w:val="13"/>
          <w:szCs w:val="13"/>
          <w:b w:val="1"/>
          <w:bCs w:val="1"/>
          <w:i w:val="1"/>
          <w:iCs w:val="1"/>
          <w:color w:val="auto"/>
        </w:rPr>
        <w:t>Warrant Register</w:t>
      </w:r>
      <w:r>
        <w:rPr>
          <w:rFonts w:ascii="Times New Roman" w:cs="Times New Roman" w:eastAsia="Times New Roman" w:hAnsi="Times New Roman"/>
          <w:sz w:val="13"/>
          <w:szCs w:val="13"/>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31" w:lineRule="exact"/>
        <w:rPr>
          <w:rFonts w:ascii="Times New Roman" w:cs="Times New Roman" w:eastAsia="Times New Roman" w:hAnsi="Times New Roman"/>
          <w:sz w:val="13"/>
          <w:szCs w:val="13"/>
          <w:b w:val="1"/>
          <w:bCs w:val="1"/>
          <w:color w:val="auto"/>
        </w:rPr>
      </w:pPr>
    </w:p>
    <w:p>
      <w:pPr>
        <w:ind w:left="640" w:right="719" w:firstLine="307"/>
        <w:spacing w:after="0" w:line="246" w:lineRule="auto"/>
        <w:tabs>
          <w:tab w:leader="none" w:pos="1075"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Registration of Transfers</w:t>
      </w:r>
      <w:r>
        <w:rPr>
          <w:rFonts w:ascii="Times New Roman" w:cs="Times New Roman" w:eastAsia="Times New Roman" w:hAnsi="Times New Roman"/>
          <w:sz w:val="13"/>
          <w:szCs w:val="13"/>
          <w:color w:val="auto"/>
        </w:rPr>
        <w:t>. Subject to compliance with all applicable securities laws, the Company shall, or will cause its Transfer Agent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3"/>
          <w:szCs w:val="13"/>
          <w:b w:val="1"/>
          <w:bCs w:val="1"/>
          <w:i w:val="1"/>
          <w:iCs w:val="1"/>
          <w:color w:val="auto"/>
        </w:rPr>
        <w:t>New Warrant</w:t>
      </w:r>
      <w:r>
        <w:rPr>
          <w:rFonts w:ascii="Times New Roman" w:cs="Times New Roman" w:eastAsia="Times New Roman" w:hAnsi="Times New Roman"/>
          <w:sz w:val="13"/>
          <w:szCs w:val="13"/>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Until due presentment for registration of transfer, the Company may treat the registered Holder hereof as the owner and holder for all purposes, and the Company shall not be affected by any notice to the contrary.</w:t>
      </w:r>
    </w:p>
    <w:p>
      <w:pPr>
        <w:spacing w:after="0" w:line="137" w:lineRule="exact"/>
        <w:rPr>
          <w:rFonts w:ascii="Times New Roman" w:cs="Times New Roman" w:eastAsia="Times New Roman" w:hAnsi="Times New Roman"/>
          <w:sz w:val="13"/>
          <w:szCs w:val="13"/>
          <w:b w:val="1"/>
          <w:bCs w:val="1"/>
          <w:color w:val="auto"/>
        </w:rPr>
      </w:pPr>
    </w:p>
    <w:p>
      <w:pPr>
        <w:ind w:left="1080" w:hanging="133"/>
        <w:spacing w:after="0"/>
        <w:tabs>
          <w:tab w:leader="none" w:pos="10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Exercise of Warrants</w:t>
      </w:r>
      <w:r>
        <w:rPr>
          <w:rFonts w:ascii="Times New Roman" w:cs="Times New Roman" w:eastAsia="Times New Roman" w:hAnsi="Times New Roman"/>
          <w:sz w:val="13"/>
          <w:szCs w:val="13"/>
          <w:b w:val="1"/>
          <w:bCs w:val="1"/>
          <w:color w:val="auto"/>
        </w:rPr>
        <w:t>.</w:t>
      </w:r>
    </w:p>
    <w:p>
      <w:pPr>
        <w:spacing w:after="0" w:line="155" w:lineRule="exact"/>
        <w:rPr>
          <w:rFonts w:ascii="Times New Roman" w:cs="Times New Roman" w:eastAsia="Times New Roman" w:hAnsi="Times New Roman"/>
          <w:sz w:val="13"/>
          <w:szCs w:val="13"/>
          <w:b w:val="1"/>
          <w:bCs w:val="1"/>
          <w:color w:val="auto"/>
        </w:rPr>
      </w:pPr>
    </w:p>
    <w:p>
      <w:pPr>
        <w:ind w:left="640" w:right="1079" w:firstLine="693"/>
        <w:spacing w:after="0" w:line="267" w:lineRule="auto"/>
        <w:tabs>
          <w:tab w:leader="none" w:pos="1508"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at any time and from time to time on or after the Original Issue Date, and such rights shall not expire.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9" w:name="page10"/>
    <w:bookmarkEnd w:id="9"/>
    <w:p>
      <w:pPr>
        <w:ind w:left="640" w:right="759" w:firstLine="693"/>
        <w:spacing w:after="0" w:line="275" w:lineRule="auto"/>
        <w:tabs>
          <w:tab w:leader="none" w:pos="1515" w:val="left"/>
        </w:tabs>
        <w:numPr>
          <w:ilvl w:val="2"/>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aggregate exercise price of this Warrant, except for a nominal exercise price of $0.0001 per Warrant Share (subject to adjustment as provided herein), was pre-funded to the Company on or prior to the Original Issue Date and, consequently, no additional consideration (other than such nominal exercise price) shall be required to be paid by the Holder to effect any exercise of this Warrant. The Holder shall not be entitled to the return or refund of all, or any portion, of such pre-paid aggregate exercise price under any circumstance or for any reason whatsoever. The remaining unpaid exercise price per Warrant Share shall be $0.0001, subject to adjustment as provided herein (the “</w:t>
      </w:r>
      <w:r>
        <w:rPr>
          <w:rFonts w:ascii="Times New Roman" w:cs="Times New Roman" w:eastAsia="Times New Roman" w:hAnsi="Times New Roman"/>
          <w:sz w:val="12"/>
          <w:szCs w:val="12"/>
          <w:b w:val="1"/>
          <w:bCs w:val="1"/>
          <w:i w:val="1"/>
          <w:iCs w:val="1"/>
          <w:color w:val="auto"/>
        </w:rPr>
        <w:t>Exercise Price</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99" w:firstLine="693"/>
        <w:spacing w:after="0" w:line="247" w:lineRule="auto"/>
        <w:tabs>
          <w:tab w:leader="none" w:pos="1508"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Holder may exercise this Warrant by delivering to the Company an exercise notice, in the form attached as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i w:val="1"/>
          <w:iCs w:val="1"/>
          <w:color w:val="auto"/>
        </w:rPr>
        <w:t>Exercise Notice</w:t>
      </w:r>
      <w:r>
        <w:rPr>
          <w:rFonts w:ascii="Times New Roman" w:cs="Times New Roman" w:eastAsia="Times New Roman" w:hAnsi="Times New Roman"/>
          <w:sz w:val="13"/>
          <w:szCs w:val="13"/>
          <w:color w:val="auto"/>
        </w:rPr>
        <w:t xml:space="preserve">”), completed and duly signed (and such date on which the Exercise Notice is delivered (as determined in accordance with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hereof), the “</w:t>
      </w:r>
      <w:r>
        <w:rPr>
          <w:rFonts w:ascii="Times New Roman" w:cs="Times New Roman" w:eastAsia="Times New Roman" w:hAnsi="Times New Roman"/>
          <w:sz w:val="13"/>
          <w:szCs w:val="13"/>
          <w:b w:val="1"/>
          <w:bCs w:val="1"/>
          <w:i w:val="1"/>
          <w:iCs w:val="1"/>
          <w:color w:val="auto"/>
        </w:rPr>
        <w:t>Exercise Date</w:t>
      </w:r>
      <w:r>
        <w:rPr>
          <w:rFonts w:ascii="Times New Roman" w:cs="Times New Roman" w:eastAsia="Times New Roman" w:hAnsi="Times New Roman"/>
          <w:sz w:val="13"/>
          <w:szCs w:val="13"/>
          <w:color w:val="auto"/>
        </w:rPr>
        <w:t xml:space="preserve">”). Within one (1) Trading Day following the delivery of the Exercise Notice, the Holder shall pay to the Company an amount equal to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below).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34"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Delivery of Warrant Shares</w:t>
      </w:r>
      <w:r>
        <w:rPr>
          <w:rFonts w:ascii="Times New Roman" w:cs="Times New Roman" w:eastAsia="Times New Roman" w:hAnsi="Times New Roman"/>
          <w:sz w:val="13"/>
          <w:szCs w:val="13"/>
          <w:b w:val="1"/>
          <w:bCs w:val="1"/>
          <w:color w:val="auto"/>
        </w:rPr>
        <w:t>.</w:t>
      </w:r>
    </w:p>
    <w:p>
      <w:pPr>
        <w:spacing w:after="0" w:line="155" w:lineRule="exact"/>
        <w:rPr>
          <w:rFonts w:ascii="Times New Roman" w:cs="Times New Roman" w:eastAsia="Times New Roman" w:hAnsi="Times New Roman"/>
          <w:sz w:val="13"/>
          <w:szCs w:val="13"/>
          <w:b w:val="1"/>
          <w:bCs w:val="1"/>
          <w:color w:val="auto"/>
        </w:rPr>
      </w:pPr>
    </w:p>
    <w:p>
      <w:pPr>
        <w:ind w:left="640" w:right="679" w:firstLine="693"/>
        <w:spacing w:after="0" w:line="266" w:lineRule="auto"/>
        <w:tabs>
          <w:tab w:leader="none" w:pos="1508" w:val="left"/>
        </w:tabs>
        <w:numPr>
          <w:ilvl w:val="2"/>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exercise of this Warrant, the Company shall promptly (but in no event later than the number of Trading Days comprising the Standard Settlement Period following the Exercise Date provided that the Aggregate Exercise Price has been received by the Company before 12:00 p.m. Eastern Time on such date, and if not, the Trading Day following receipt of such aggregate Exercise Price),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2"/>
          <w:szCs w:val="12"/>
          <w:b w:val="1"/>
          <w:bCs w:val="1"/>
          <w:i w:val="1"/>
          <w:iCs w:val="1"/>
          <w:color w:val="auto"/>
        </w:rPr>
        <w:t>Exercise Shares</w:t>
      </w:r>
      <w:r>
        <w:rPr>
          <w:rFonts w:ascii="Times New Roman" w:cs="Times New Roman" w:eastAsia="Times New Roman" w:hAnsi="Times New Roman"/>
          <w:sz w:val="12"/>
          <w:szCs w:val="12"/>
          <w:color w:val="auto"/>
        </w:rPr>
        <w:t>”) to the Holder’s or its designee’s balance account with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through its Deposit Withdrawal At Custodian system if the Transfer Agent is then a participant in the DTC Fast Automated Securities Transfer Program (the “</w:t>
      </w:r>
      <w:r>
        <w:rPr>
          <w:rFonts w:ascii="Times New Roman" w:cs="Times New Roman" w:eastAsia="Times New Roman" w:hAnsi="Times New Roman"/>
          <w:sz w:val="12"/>
          <w:szCs w:val="12"/>
          <w:b w:val="1"/>
          <w:bCs w:val="1"/>
          <w:i w:val="1"/>
          <w:iCs w:val="1"/>
          <w:color w:val="auto"/>
        </w:rPr>
        <w:t>FAST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Program</w:t>
      </w:r>
      <w:r>
        <w:rPr>
          <w:rFonts w:ascii="Times New Roman" w:cs="Times New Roman" w:eastAsia="Times New Roman" w:hAnsi="Times New Roman"/>
          <w:sz w:val="12"/>
          <w:szCs w:val="12"/>
          <w:color w:val="auto"/>
        </w:rPr>
        <w:t>”) or in book entry form via a direct registration system (“</w:t>
      </w:r>
      <w:r>
        <w:rPr>
          <w:rFonts w:ascii="Times New Roman" w:cs="Times New Roman" w:eastAsia="Times New Roman" w:hAnsi="Times New Roman"/>
          <w:sz w:val="12"/>
          <w:szCs w:val="12"/>
          <w:b w:val="1"/>
          <w:bCs w:val="1"/>
          <w:i w:val="1"/>
          <w:iCs w:val="1"/>
          <w:color w:val="auto"/>
        </w:rPr>
        <w:t>DRS</w:t>
      </w:r>
      <w:r>
        <w:rPr>
          <w:rFonts w:ascii="Times New Roman" w:cs="Times New Roman" w:eastAsia="Times New Roman" w:hAnsi="Times New Roman"/>
          <w:sz w:val="12"/>
          <w:szCs w:val="12"/>
          <w:color w:val="auto"/>
        </w:rPr>
        <w:t>”) maintained by or on behalf of the Transfer Agent, in each case, so long as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Transfer Agent will promptly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283" w:lineRule="exact"/>
        <w:rPr>
          <w:rFonts w:ascii="Times New Roman" w:cs="Times New Roman" w:eastAsia="Times New Roman" w:hAnsi="Times New Roman"/>
          <w:sz w:val="12"/>
          <w:szCs w:val="12"/>
          <w:color w:val="auto"/>
        </w:rPr>
      </w:pPr>
    </w:p>
    <w:p>
      <w:pPr>
        <w:ind w:left="640" w:right="799" w:firstLine="693"/>
        <w:spacing w:after="0" w:line="268" w:lineRule="auto"/>
        <w:tabs>
          <w:tab w:leader="none" w:pos="1515" w:val="left"/>
        </w:tabs>
        <w:numPr>
          <w:ilvl w:val="2"/>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Company fails to deliver or cause the Transfer Agent to deliver to the Holder or its designee Exercise Shares in the manner required pursuant to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 xml:space="preserve"> 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b w:val="1"/>
          <w:bCs w:val="1"/>
          <w:i w:val="1"/>
          <w:iCs w:val="1"/>
          <w:color w:val="auto"/>
        </w:rPr>
        <w:t>Buy-In</w:t>
      </w:r>
      <w:r>
        <w:rPr>
          <w:rFonts w:ascii="Times New Roman" w:cs="Times New Roman" w:eastAsia="Times New Roman" w:hAnsi="Times New Roman"/>
          <w:sz w:val="12"/>
          <w:szCs w:val="12"/>
          <w:color w:val="auto"/>
        </w:rPr>
        <w:t>”) but did not receive within the Standard Settlement Period, then the Company shall, within two (2) Trading Days after the Holder’s request,</w:t>
      </w:r>
    </w:p>
    <w:p>
      <w:pPr>
        <w:ind w:left="640" w:right="679" w:hanging="3"/>
        <w:spacing w:after="0" w:line="268" w:lineRule="auto"/>
        <w:tabs>
          <w:tab w:leader="none" w:pos="819"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in cash to the Holder the amount, if any, by which (x) the Holder’s total purchase price (including brokerage commissions, if any) for the shares of Common Stock so purchased in the Buy-In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0" w:name="page11"/>
    <w:bookmarkEnd w:id="10"/>
    <w:p>
      <w:pPr>
        <w:ind w:left="640" w:right="639" w:firstLine="693"/>
        <w:spacing w:after="0" w:line="269" w:lineRule="auto"/>
        <w:tabs>
          <w:tab w:leader="none" w:pos="150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extent permitted by law and subject to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the Company’s obligations to issue and deliver Warrant Shares in accordance with and subject to the terms hereof ((including payment of the Aggregate Exercise Price and including the limitations set forth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2" w:lineRule="exact"/>
        <w:rPr>
          <w:rFonts w:ascii="Times New Roman" w:cs="Times New Roman" w:eastAsia="Times New Roman" w:hAnsi="Times New Roman"/>
          <w:sz w:val="12"/>
          <w:szCs w:val="12"/>
          <w:color w:val="auto"/>
        </w:rPr>
      </w:pPr>
    </w:p>
    <w:p>
      <w:pPr>
        <w:ind w:left="640" w:right="719" w:firstLine="307"/>
        <w:spacing w:after="0" w:line="248" w:lineRule="auto"/>
        <w:tabs>
          <w:tab w:leader="none" w:pos="1075"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Charges, Taxes and Expenses</w:t>
      </w:r>
      <w:r>
        <w:rPr>
          <w:rFonts w:ascii="Times New Roman" w:cs="Times New Roman" w:eastAsia="Times New Roman" w:hAnsi="Times New Roman"/>
          <w:sz w:val="13"/>
          <w:szCs w:val="13"/>
          <w:color w:val="auto"/>
        </w:rPr>
        <w:t>. Issuance and delivery of the Warrant Shares upon exercise of this Warrant shall be made without charge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34" w:lineRule="exact"/>
        <w:rPr>
          <w:rFonts w:ascii="Times New Roman" w:cs="Times New Roman" w:eastAsia="Times New Roman" w:hAnsi="Times New Roman"/>
          <w:sz w:val="13"/>
          <w:szCs w:val="13"/>
          <w:b w:val="1"/>
          <w:bCs w:val="1"/>
          <w:color w:val="auto"/>
        </w:rPr>
      </w:pPr>
    </w:p>
    <w:p>
      <w:pPr>
        <w:ind w:left="640" w:right="699" w:firstLine="307"/>
        <w:spacing w:after="0" w:line="250" w:lineRule="auto"/>
        <w:tabs>
          <w:tab w:leader="none" w:pos="1075"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Replacement of Warrant</w:t>
      </w:r>
      <w:r>
        <w:rPr>
          <w:rFonts w:ascii="Times New Roman" w:cs="Times New Roman" w:eastAsia="Times New Roman" w:hAnsi="Times New Roman"/>
          <w:sz w:val="13"/>
          <w:szCs w:val="13"/>
          <w:color w:val="auto"/>
        </w:rPr>
        <w:t>. If this Warrant is mutilated, lost, stolen or destroyed, the Company shall issue or cause to be issued in exchange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31" w:lineRule="exact"/>
        <w:rPr>
          <w:rFonts w:ascii="Times New Roman" w:cs="Times New Roman" w:eastAsia="Times New Roman" w:hAnsi="Times New Roman"/>
          <w:sz w:val="13"/>
          <w:szCs w:val="13"/>
          <w:b w:val="1"/>
          <w:bCs w:val="1"/>
          <w:color w:val="auto"/>
        </w:rPr>
      </w:pPr>
    </w:p>
    <w:p>
      <w:pPr>
        <w:ind w:left="640" w:right="679" w:firstLine="307"/>
        <w:spacing w:after="0" w:line="246" w:lineRule="auto"/>
        <w:tabs>
          <w:tab w:leader="none" w:pos="1075"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Reservation of Warrant Shares</w:t>
      </w:r>
      <w:r>
        <w:rPr>
          <w:rFonts w:ascii="Times New Roman" w:cs="Times New Roman" w:eastAsia="Times New Roman" w:hAnsi="Times New Roman"/>
          <w:sz w:val="13"/>
          <w:szCs w:val="13"/>
          <w:color w:val="auto"/>
        </w:rPr>
        <w:t>. The Company covenants that it will, at all times while this Warrant is outstanding, reserve and keep available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The Company covenants that all Warrant Shares so issuable and deliverable shall, upon issuance and the payment of the applicable Exercise Price in accordance with the terms hereof, be duly authorized, validly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35" w:lineRule="exact"/>
        <w:rPr>
          <w:rFonts w:ascii="Times New Roman" w:cs="Times New Roman" w:eastAsia="Times New Roman" w:hAnsi="Times New Roman"/>
          <w:sz w:val="13"/>
          <w:szCs w:val="13"/>
          <w:b w:val="1"/>
          <w:bCs w:val="1"/>
          <w:color w:val="auto"/>
        </w:rPr>
      </w:pPr>
    </w:p>
    <w:p>
      <w:pPr>
        <w:ind w:left="640" w:right="699" w:firstLine="307"/>
        <w:spacing w:after="0" w:line="270" w:lineRule="auto"/>
        <w:tabs>
          <w:tab w:leader="none" w:pos="1075"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Certain Adjustments</w:t>
      </w:r>
      <w:r>
        <w:rPr>
          <w:rFonts w:ascii="Times New Roman" w:cs="Times New Roman" w:eastAsia="Times New Roman" w:hAnsi="Times New Roman"/>
          <w:sz w:val="13"/>
          <w:szCs w:val="13"/>
          <w:color w:val="auto"/>
        </w:rPr>
        <w:t>. The Exercise Price and number of Warrant Shares issuable upon exercise of this Warrant are subject to adjustment from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time to time as set forth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b w:val="1"/>
          <w:bCs w:val="1"/>
          <w:color w:val="auto"/>
        </w:rPr>
      </w:pPr>
    </w:p>
    <w:p>
      <w:pPr>
        <w:ind w:left="640" w:right="659" w:firstLine="693"/>
        <w:spacing w:after="0" w:line="246" w:lineRule="auto"/>
        <w:tabs>
          <w:tab w:leader="none" w:pos="1508"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Dividends and Splits</w:t>
      </w:r>
      <w:r>
        <w:rPr>
          <w:rFonts w:ascii="Times New Roman" w:cs="Times New Roman" w:eastAsia="Times New Roman" w:hAnsi="Times New Roman"/>
          <w:sz w:val="13"/>
          <w:szCs w:val="13"/>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if such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1" w:name="page12"/>
    <w:bookmarkEnd w:id="11"/>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33" w:lineRule="exact"/>
        <w:rPr>
          <w:sz w:val="20"/>
          <w:szCs w:val="20"/>
          <w:color w:val="auto"/>
        </w:rPr>
      </w:pPr>
    </w:p>
    <w:p>
      <w:pPr>
        <w:ind w:left="640" w:right="659" w:firstLine="693"/>
        <w:spacing w:after="0" w:line="244" w:lineRule="auto"/>
        <w:tabs>
          <w:tab w:leader="none" w:pos="1515"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 Rata Distributions</w:t>
      </w:r>
      <w:r>
        <w:rPr>
          <w:rFonts w:ascii="Times New Roman" w:cs="Times New Roman" w:eastAsia="Times New Roman" w:hAnsi="Times New Roman"/>
          <w:sz w:val="13"/>
          <w:szCs w:val="13"/>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3"/>
          <w:szCs w:val="13"/>
          <w:u w:val="single" w:color="auto"/>
          <w:color w:val="auto"/>
        </w:rPr>
        <w:t>Section 9(a)</w:t>
      </w:r>
      <w:r>
        <w:rPr>
          <w:rFonts w:ascii="Times New Roman" w:cs="Times New Roman" w:eastAsia="Times New Roman" w:hAnsi="Times New Roman"/>
          <w:sz w:val="13"/>
          <w:szCs w:val="13"/>
          <w:color w:val="auto"/>
        </w:rPr>
        <w:t xml:space="preserve">, any distribution of Purchase Rights (as defined below) subject to </w:t>
      </w:r>
      <w:r>
        <w:rPr>
          <w:rFonts w:ascii="Times New Roman" w:cs="Times New Roman" w:eastAsia="Times New Roman" w:hAnsi="Times New Roman"/>
          <w:sz w:val="13"/>
          <w:szCs w:val="13"/>
          <w:u w:val="single" w:color="auto"/>
          <w:color w:val="auto"/>
        </w:rPr>
        <w:t>Section 9(c)</w:t>
      </w:r>
      <w:r>
        <w:rPr>
          <w:rFonts w:ascii="Times New Roman" w:cs="Times New Roman" w:eastAsia="Times New Roman" w:hAnsi="Times New Roman"/>
          <w:sz w:val="13"/>
          <w:szCs w:val="13"/>
          <w:color w:val="auto"/>
        </w:rPr>
        <w:t xml:space="preserve"> and any Fundamental Transaction (as defined below) subject to </w:t>
      </w:r>
      <w:r>
        <w:rPr>
          <w:rFonts w:ascii="Times New Roman" w:cs="Times New Roman" w:eastAsia="Times New Roman" w:hAnsi="Times New Roman"/>
          <w:sz w:val="13"/>
          <w:szCs w:val="13"/>
          <w:u w:val="single" w:color="auto"/>
          <w:color w:val="auto"/>
        </w:rPr>
        <w:t>Section 9(d)</w:t>
      </w:r>
      <w:r>
        <w:rPr>
          <w:rFonts w:ascii="Times New Roman" w:cs="Times New Roman" w:eastAsia="Times New Roman" w:hAnsi="Times New Roman"/>
          <w:sz w:val="13"/>
          <w:szCs w:val="13"/>
          <w:color w:val="auto"/>
        </w:rPr>
        <w:t>) (a “</w:t>
      </w:r>
      <w:r>
        <w:rPr>
          <w:rFonts w:ascii="Times New Roman" w:cs="Times New Roman" w:eastAsia="Times New Roman" w:hAnsi="Times New Roman"/>
          <w:sz w:val="13"/>
          <w:szCs w:val="13"/>
          <w:b w:val="1"/>
          <w:bCs w:val="1"/>
          <w:i w:val="1"/>
          <w:iCs w:val="1"/>
          <w:color w:val="auto"/>
        </w:rPr>
        <w:t>Distribution</w:t>
      </w:r>
      <w:r>
        <w:rPr>
          <w:rFonts w:ascii="Times New Roman" w:cs="Times New Roman" w:eastAsia="Times New Roman" w:hAnsi="Times New Roman"/>
          <w:sz w:val="13"/>
          <w:szCs w:val="13"/>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45"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08"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Rights</w:t>
      </w:r>
      <w:r>
        <w:rPr>
          <w:rFonts w:ascii="Times New Roman" w:cs="Times New Roman" w:eastAsia="Times New Roman" w:hAnsi="Times New Roman"/>
          <w:sz w:val="13"/>
          <w:szCs w:val="13"/>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3"/>
          <w:szCs w:val="13"/>
          <w:b w:val="1"/>
          <w:bCs w:val="1"/>
          <w:i w:val="1"/>
          <w:iCs w:val="1"/>
          <w:color w:val="auto"/>
        </w:rPr>
        <w:t>Purchase Rights</w:t>
      </w:r>
      <w:r>
        <w:rPr>
          <w:rFonts w:ascii="Times New Roman" w:cs="Times New Roman" w:eastAsia="Times New Roman" w:hAnsi="Times New Roman"/>
          <w:sz w:val="13"/>
          <w:szCs w:val="13"/>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3"/>
          <w:szCs w:val="13"/>
          <w:u w:val="single" w:color="auto"/>
          <w:color w:val="auto"/>
        </w:rPr>
        <w:t>Section 9(c)</w:t>
      </w:r>
      <w:r>
        <w:rPr>
          <w:rFonts w:ascii="Times New Roman" w:cs="Times New Roman" w:eastAsia="Times New Roman" w:hAnsi="Times New Roman"/>
          <w:sz w:val="13"/>
          <w:szCs w:val="13"/>
          <w:color w:val="auto"/>
        </w:rPr>
        <w:t>, (i) “</w:t>
      </w:r>
      <w:r>
        <w:rPr>
          <w:rFonts w:ascii="Times New Roman" w:cs="Times New Roman" w:eastAsia="Times New Roman" w:hAnsi="Times New Roman"/>
          <w:sz w:val="13"/>
          <w:szCs w:val="13"/>
          <w:b w:val="1"/>
          <w:bCs w:val="1"/>
          <w:i w:val="1"/>
          <w:iCs w:val="1"/>
          <w:color w:val="auto"/>
        </w:rPr>
        <w:t>Options</w:t>
      </w:r>
      <w:r>
        <w:rPr>
          <w:rFonts w:ascii="Times New Roman" w:cs="Times New Roman" w:eastAsia="Times New Roman" w:hAnsi="Times New Roman"/>
          <w:sz w:val="13"/>
          <w:szCs w:val="13"/>
          <w:color w:val="auto"/>
        </w:rPr>
        <w:t>” means any rights, warrants or options to subscribe for or purchase shares of Common Stock or Convertible Securities and (ii) “</w:t>
      </w:r>
      <w:r>
        <w:rPr>
          <w:rFonts w:ascii="Times New Roman" w:cs="Times New Roman" w:eastAsia="Times New Roman" w:hAnsi="Times New Roman"/>
          <w:sz w:val="13"/>
          <w:szCs w:val="13"/>
          <w:b w:val="1"/>
          <w:bCs w:val="1"/>
          <w:i w:val="1"/>
          <w:iCs w:val="1"/>
          <w:color w:val="auto"/>
        </w:rPr>
        <w:t>Convertible Securities</w:t>
      </w:r>
      <w:r>
        <w:rPr>
          <w:rFonts w:ascii="Times New Roman" w:cs="Times New Roman" w:eastAsia="Times New Roman" w:hAnsi="Times New Roman"/>
          <w:sz w:val="13"/>
          <w:szCs w:val="13"/>
          <w:color w:val="auto"/>
        </w:rPr>
        <w:t>” mean any stock or securities (other than Options) directly or indirectly convertible into or exercisable or exchangeable for shares of Common Stock.</w:t>
      </w:r>
    </w:p>
    <w:p>
      <w:pPr>
        <w:spacing w:after="0" w:line="136" w:lineRule="exact"/>
        <w:rPr>
          <w:rFonts w:ascii="Times New Roman" w:cs="Times New Roman" w:eastAsia="Times New Roman" w:hAnsi="Times New Roman"/>
          <w:sz w:val="13"/>
          <w:szCs w:val="13"/>
          <w:color w:val="auto"/>
        </w:rPr>
      </w:pPr>
    </w:p>
    <w:p>
      <w:pPr>
        <w:jc w:val="both"/>
        <w:ind w:left="640" w:right="659" w:firstLine="693"/>
        <w:spacing w:after="0" w:line="269" w:lineRule="auto"/>
        <w:tabs>
          <w:tab w:leader="none" w:pos="1515"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Fundamental Transactions</w:t>
      </w:r>
      <w:r>
        <w:rPr>
          <w:rFonts w:ascii="Times New Roman" w:cs="Times New Roman" w:eastAsia="Times New Roman" w:hAnsi="Times New Roman"/>
          <w:sz w:val="12"/>
          <w:szCs w:val="12"/>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ind w:left="640" w:right="639" w:hanging="3"/>
        <w:spacing w:after="0" w:line="246" w:lineRule="auto"/>
        <w:tabs>
          <w:tab w:leader="none" w:pos="86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any tender offer or exchange offer (whether by the Company or another Person), holders of capital stock tender shares representing more than 50% of the voting power of the capital stock of the Company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2" w:name="page13"/>
    <w:bookmarkEnd w:id="12"/>
    <w:p>
      <w:pPr>
        <w:ind w:left="640" w:right="6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2"/>
          <w:szCs w:val="12"/>
          <w:u w:val="single" w:color="auto"/>
          <w:color w:val="auto"/>
        </w:rPr>
        <w:t>Section 9(a)</w:t>
      </w:r>
      <w:r>
        <w:rPr>
          <w:rFonts w:ascii="Times New Roman" w:cs="Times New Roman" w:eastAsia="Times New Roman" w:hAnsi="Times New Roman"/>
          <w:sz w:val="12"/>
          <w:szCs w:val="12"/>
          <w:color w:val="auto"/>
        </w:rPr>
        <w:t xml:space="preserve"> above) (in any such case, a “</w:t>
      </w:r>
      <w:r>
        <w:rPr>
          <w:rFonts w:ascii="Times New Roman" w:cs="Times New Roman" w:eastAsia="Times New Roman" w:hAnsi="Times New Roman"/>
          <w:sz w:val="12"/>
          <w:szCs w:val="12"/>
          <w:b w:val="1"/>
          <w:bCs w:val="1"/>
          <w:i w:val="1"/>
          <w:iCs w:val="1"/>
          <w:color w:val="auto"/>
        </w:rPr>
        <w:t>Fundamental Transaction</w:t>
      </w:r>
      <w:r>
        <w:rPr>
          <w:rFonts w:ascii="Times New Roman" w:cs="Times New Roman" w:eastAsia="Times New Roman" w:hAnsi="Times New Roman"/>
          <w:sz w:val="12"/>
          <w:szCs w:val="12"/>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2"/>
          <w:szCs w:val="12"/>
          <w:b w:val="1"/>
          <w:bCs w:val="1"/>
          <w:i w:val="1"/>
          <w:iCs w:val="1"/>
          <w:color w:val="auto"/>
        </w:rPr>
        <w:t>Alternate Consideration</w:t>
      </w:r>
      <w:r>
        <w:rPr>
          <w:rFonts w:ascii="Times New Roman" w:cs="Times New Roman" w:eastAsia="Times New Roman" w:hAnsi="Times New Roman"/>
          <w:sz w:val="12"/>
          <w:szCs w:val="12"/>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282" w:lineRule="exact"/>
        <w:rPr>
          <w:sz w:val="20"/>
          <w:szCs w:val="20"/>
          <w:color w:val="auto"/>
        </w:rPr>
      </w:pPr>
    </w:p>
    <w:p>
      <w:pPr>
        <w:ind w:left="640" w:right="759" w:firstLine="693"/>
        <w:spacing w:after="0" w:line="251" w:lineRule="auto"/>
        <w:tabs>
          <w:tab w:leader="none" w:pos="150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Number of Warrant Shares</w:t>
      </w:r>
      <w:r>
        <w:rPr>
          <w:rFonts w:ascii="Times New Roman" w:cs="Times New Roman" w:eastAsia="Times New Roman" w:hAnsi="Times New Roman"/>
          <w:sz w:val="13"/>
          <w:szCs w:val="13"/>
          <w:color w:val="auto"/>
        </w:rPr>
        <w:t xml:space="preserve">. Simultaneously with any adjustment to the Exercise Price pursuant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3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xml:space="preserve">. All calculations under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be made to the nearest one-tenth of one cent or the nearest share, as applicable.</w:t>
      </w:r>
    </w:p>
    <w:p>
      <w:pPr>
        <w:spacing w:after="0" w:line="165" w:lineRule="exact"/>
        <w:rPr>
          <w:rFonts w:ascii="Times New Roman" w:cs="Times New Roman" w:eastAsia="Times New Roman" w:hAnsi="Times New Roman"/>
          <w:sz w:val="12"/>
          <w:szCs w:val="12"/>
          <w:color w:val="auto"/>
        </w:rPr>
      </w:pPr>
    </w:p>
    <w:p>
      <w:pPr>
        <w:ind w:left="640" w:right="819" w:firstLine="693"/>
        <w:spacing w:after="0" w:line="248" w:lineRule="auto"/>
        <w:tabs>
          <w:tab w:leader="none" w:pos="151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Adjustments</w:t>
      </w:r>
      <w:r>
        <w:rPr>
          <w:rFonts w:ascii="Times New Roman" w:cs="Times New Roman" w:eastAsia="Times New Roman" w:hAnsi="Times New Roman"/>
          <w:sz w:val="13"/>
          <w:szCs w:val="13"/>
          <w:color w:val="auto"/>
        </w:rPr>
        <w:t xml:space="preserve">. Upon the occurrence of each adjustment pursuant to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68" w:lineRule="auto"/>
        <w:tabs>
          <w:tab w:leader="none" w:pos="1515"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Corporate Events</w:t>
      </w:r>
      <w:r>
        <w:rPr>
          <w:rFonts w:ascii="Times New Roman" w:cs="Times New Roman" w:eastAsia="Times New Roman" w:hAnsi="Times New Roman"/>
          <w:sz w:val="12"/>
          <w:szCs w:val="12"/>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five (5)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other than a Fundamental Transaction under clause (iii) of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the Company shall deliver to the Holder a notice of such Fundamental Transaction at least thirty (30) days prior to the date such Fundamental Transaction is consummated.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3" w:name="page14"/>
    <w:bookmarkEnd w:id="13"/>
    <w:p>
      <w:pPr>
        <w:ind w:left="640" w:right="759" w:firstLine="307"/>
        <w:spacing w:after="0" w:line="257" w:lineRule="auto"/>
        <w:tabs>
          <w:tab w:leader="none" w:pos="1139"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Payment of Exercise Price</w:t>
      </w:r>
      <w:r>
        <w:rPr>
          <w:rFonts w:ascii="Times New Roman" w:cs="Times New Roman" w:eastAsia="Times New Roman" w:hAnsi="Times New Roman"/>
          <w:sz w:val="13"/>
          <w:szCs w:val="13"/>
          <w:color w:val="auto"/>
        </w:rPr>
        <w:t>. Notwithstanding anything contained herein to the contrary, the Holder may, in its sole discretion, satisfy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X = Y [(A-B)/A]</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where:</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“X” equals the number of Warrant Shares to be issued to the Holder;</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“Y” equals the total number of Warrant Shares with respect to which this Warrant is then being exercised;</w:t>
      </w:r>
    </w:p>
    <w:p>
      <w:pPr>
        <w:spacing w:after="0" w:line="78" w:lineRule="exact"/>
        <w:rPr>
          <w:sz w:val="20"/>
          <w:szCs w:val="20"/>
          <w:color w:val="auto"/>
        </w:rPr>
      </w:pPr>
    </w:p>
    <w:p>
      <w:pPr>
        <w:ind w:left="940" w:right="779" w:firstLine="297"/>
        <w:spacing w:after="0" w:line="267" w:lineRule="auto"/>
        <w:rPr>
          <w:sz w:val="20"/>
          <w:szCs w:val="20"/>
          <w:color w:val="auto"/>
        </w:rPr>
      </w:pPr>
      <w:r>
        <w:rPr>
          <w:rFonts w:ascii="Times New Roman" w:cs="Times New Roman" w:eastAsia="Times New Roman" w:hAnsi="Times New Roman"/>
          <w:sz w:val="13"/>
          <w:szCs w:val="13"/>
          <w:color w:val="auto"/>
        </w:rPr>
        <w:t>“A” equals the Closing Sale Price of the shares of Common Stock (as reported by Bloomberg Financial Markets) as of the Trading Day on the date immediately preceding the Exercise Date; and</w:t>
      </w:r>
    </w:p>
    <w:p>
      <w:pPr>
        <w:spacing w:after="0" w:line="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“B” equals the Exercise Price then in effect for the applicable Warrant Shares at the time of such exercise.</w:t>
      </w:r>
    </w:p>
    <w:p>
      <w:pPr>
        <w:spacing w:after="0" w:line="154"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3"/>
          <w:szCs w:val="13"/>
          <w:u w:val="single" w:color="auto"/>
          <w:color w:val="auto"/>
        </w:rPr>
        <w:t>Section 5(b)</w:t>
      </w:r>
      <w:r>
        <w:rPr>
          <w:rFonts w:ascii="Times New Roman" w:cs="Times New Roman" w:eastAsia="Times New Roman" w:hAnsi="Times New Roman"/>
          <w:sz w:val="13"/>
          <w:szCs w:val="13"/>
          <w:color w:val="auto"/>
        </w:rPr>
        <w:t xml:space="preserve"> (Buy-In remedy) and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(payment of cash in lieu of fractional shares), in no event will the exercise of this Warrant be settled in cash.</w:t>
      </w:r>
    </w:p>
    <w:p>
      <w:pPr>
        <w:spacing w:after="0" w:line="135" w:lineRule="exact"/>
        <w:rPr>
          <w:sz w:val="20"/>
          <w:szCs w:val="20"/>
          <w:color w:val="auto"/>
        </w:rPr>
      </w:pPr>
    </w:p>
    <w:p>
      <w:pPr>
        <w:ind w:left="1120" w:hanging="173"/>
        <w:spacing w:after="0"/>
        <w:tabs>
          <w:tab w:leader="none" w:pos="112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Limitations on Exercise</w:t>
      </w:r>
      <w:r>
        <w:rPr>
          <w:rFonts w:ascii="Times New Roman" w:cs="Times New Roman" w:eastAsia="Times New Roman" w:hAnsi="Times New Roman"/>
          <w:sz w:val="13"/>
          <w:szCs w:val="13"/>
          <w:b w:val="1"/>
          <w:bCs w:val="1"/>
          <w:color w:val="auto"/>
        </w:rPr>
        <w:t>.</w:t>
      </w:r>
    </w:p>
    <w:p>
      <w:pPr>
        <w:spacing w:after="0" w:line="155" w:lineRule="exact"/>
        <w:rPr>
          <w:rFonts w:ascii="Times New Roman" w:cs="Times New Roman" w:eastAsia="Times New Roman" w:hAnsi="Times New Roman"/>
          <w:sz w:val="13"/>
          <w:szCs w:val="13"/>
          <w:b w:val="1"/>
          <w:bCs w:val="1"/>
          <w:color w:val="auto"/>
        </w:rPr>
      </w:pPr>
    </w:p>
    <w:p>
      <w:pPr>
        <w:ind w:left="640" w:right="679" w:firstLine="693"/>
        <w:spacing w:after="0" w:line="244" w:lineRule="auto"/>
        <w:tabs>
          <w:tab w:leader="none" w:pos="1508"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3"/>
          <w:szCs w:val="13"/>
          <w:b w:val="1"/>
          <w:bCs w:val="1"/>
          <w:i w:val="1"/>
          <w:iCs w:val="1"/>
          <w:color w:val="auto"/>
        </w:rPr>
        <w:t>Maximum Percentage</w:t>
      </w:r>
      <w:r>
        <w:rPr>
          <w:rFonts w:ascii="Times New Roman" w:cs="Times New Roman" w:eastAsia="Times New Roman" w:hAnsi="Times New Roman"/>
          <w:sz w:val="13"/>
          <w:szCs w:val="13"/>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3"/>
          <w:szCs w:val="13"/>
          <w:b w:val="1"/>
          <w:bCs w:val="1"/>
          <w:i w:val="1"/>
          <w:iCs w:val="1"/>
          <w:color w:val="auto"/>
        </w:rPr>
        <w:t>Reported Outstanding Share Number</w:t>
      </w:r>
      <w:r>
        <w:rPr>
          <w:rFonts w:ascii="Times New Roman" w:cs="Times New Roman" w:eastAsia="Times New Roman" w:hAnsi="Times New Roman"/>
          <w:sz w:val="13"/>
          <w:szCs w:val="13"/>
          <w:color w:val="auto"/>
        </w:rPr>
        <w:t>”). Upon the written request of the Holder, the Company shall within one (1) Trading Day confirm in writing (including by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14" w:name="page15"/>
    <w:bookmarkEnd w:id="14"/>
    <w:p>
      <w:pPr>
        <w:ind w:left="640" w:right="6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2"/>
          <w:szCs w:val="12"/>
          <w:b w:val="1"/>
          <w:bCs w:val="1"/>
          <w:i w:val="1"/>
          <w:iCs w:val="1"/>
          <w:color w:val="auto"/>
        </w:rPr>
        <w:t>Reduction Shares</w:t>
      </w:r>
      <w:r>
        <w:rPr>
          <w:rFonts w:ascii="Times New Roman" w:cs="Times New Roman" w:eastAsia="Times New Roman" w:hAnsi="Times New Roman"/>
          <w:sz w:val="12"/>
          <w:szCs w:val="12"/>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2"/>
          <w:szCs w:val="12"/>
          <w:b w:val="1"/>
          <w:bCs w:val="1"/>
          <w:i w:val="1"/>
          <w:iCs w:val="1"/>
          <w:color w:val="auto"/>
        </w:rPr>
        <w:t>Excess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shall be deemed null and void and shall be cancelled ab initio, and the Holder and/or the Attribution Parties shall not have the power to vote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any increase in the Maximum Percentage will not be effective until the sixty-first (61st) day after such notice is delivered to the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shall not negatively affect any partial exercise effected prior to such change.</w:t>
      </w:r>
    </w:p>
    <w:p>
      <w:pPr>
        <w:spacing w:after="0" w:line="287" w:lineRule="exact"/>
        <w:rPr>
          <w:sz w:val="20"/>
          <w:szCs w:val="20"/>
          <w:color w:val="auto"/>
        </w:rPr>
      </w:pPr>
    </w:p>
    <w:p>
      <w:pPr>
        <w:ind w:left="640" w:right="699" w:firstLine="693"/>
        <w:spacing w:after="0" w:line="245" w:lineRule="auto"/>
        <w:tabs>
          <w:tab w:leader="none" w:pos="1515"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3"/>
          <w:szCs w:val="13"/>
          <w:u w:val="single" w:color="auto"/>
          <w:color w:val="auto"/>
        </w:rPr>
        <w:t>Section 9(d)</w:t>
      </w:r>
      <w:r>
        <w:rPr>
          <w:rFonts w:ascii="Times New Roman" w:cs="Times New Roman" w:eastAsia="Times New Roman" w:hAnsi="Times New Roman"/>
          <w:sz w:val="13"/>
          <w:szCs w:val="13"/>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to the extent necessary to correct this paragraph or any portion of this paragraph which may be defective or inconsistent with the intended beneficial ownership limitation contained in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38" w:lineRule="exact"/>
        <w:rPr>
          <w:rFonts w:ascii="Times New Roman" w:cs="Times New Roman" w:eastAsia="Times New Roman" w:hAnsi="Times New Roman"/>
          <w:sz w:val="13"/>
          <w:szCs w:val="13"/>
          <w:color w:val="auto"/>
        </w:rPr>
      </w:pPr>
    </w:p>
    <w:p>
      <w:pPr>
        <w:ind w:left="640" w:right="799" w:firstLine="307"/>
        <w:spacing w:after="0" w:line="288" w:lineRule="auto"/>
        <w:tabs>
          <w:tab w:leader="none" w:pos="1139"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 Fractional Shares</w:t>
      </w:r>
      <w:r>
        <w:rPr>
          <w:rFonts w:ascii="Times New Roman" w:cs="Times New Roman" w:eastAsia="Times New Roman" w:hAnsi="Times New Roman"/>
          <w:sz w:val="12"/>
          <w:szCs w:val="12"/>
          <w:color w:val="auto"/>
        </w:rPr>
        <w:t>. No fractional Warrant Shares will be issued in connection with any exercise of this Warrant. As to any fraction of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w:t>
      </w:r>
    </w:p>
    <w:p>
      <w:pPr>
        <w:spacing w:after="0" w:line="110"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13 </w:t>
      </w: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Any and all notices or other communications or deliveries hereunder (including, without limitation, any Exercise Notice) shall be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5" w:name="page16"/>
    <w:bookmarkEnd w:id="15"/>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22" w:lineRule="exact"/>
        <w:rPr>
          <w:sz w:val="20"/>
          <w:szCs w:val="20"/>
          <w:color w:val="auto"/>
        </w:rPr>
      </w:pPr>
    </w:p>
    <w:p>
      <w:pPr>
        <w:ind w:left="640" w:right="659" w:firstLine="307"/>
        <w:spacing w:after="0" w:line="248" w:lineRule="auto"/>
        <w:tabs>
          <w:tab w:leader="none" w:pos="1139"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Warrant Agent</w:t>
      </w:r>
      <w:r>
        <w:rPr>
          <w:rFonts w:ascii="Times New Roman" w:cs="Times New Roman" w:eastAsia="Times New Roman" w:hAnsi="Times New Roman"/>
          <w:sz w:val="13"/>
          <w:szCs w:val="13"/>
          <w:color w:val="auto"/>
        </w:rPr>
        <w:t>. The Company shall serve as warrant agent under this Warrant. Upon thirty (30) days’ notice to the Holder, the Company may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35" w:lineRule="exact"/>
        <w:rPr>
          <w:sz w:val="20"/>
          <w:szCs w:val="20"/>
          <w:color w:val="auto"/>
        </w:rPr>
      </w:pPr>
    </w:p>
    <w:p>
      <w:pPr>
        <w:ind w:left="1100" w:hanging="153"/>
        <w:spacing w:after="0"/>
        <w:tabs>
          <w:tab w:leader="none" w:pos="110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Miscellaneous</w:t>
      </w:r>
      <w:r>
        <w:rPr>
          <w:rFonts w:ascii="Times New Roman" w:cs="Times New Roman" w:eastAsia="Times New Roman" w:hAnsi="Times New Roman"/>
          <w:sz w:val="13"/>
          <w:szCs w:val="13"/>
          <w:color w:val="auto"/>
        </w:rPr>
        <w:t>.</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46" w:lineRule="auto"/>
        <w:tabs>
          <w:tab w:leader="none" w:pos="1508"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Rights as a Stockholder</w:t>
      </w:r>
      <w:r>
        <w:rPr>
          <w:rFonts w:ascii="Times New Roman" w:cs="Times New Roman" w:eastAsia="Times New Roman" w:hAnsi="Times New Roman"/>
          <w:sz w:val="13"/>
          <w:szCs w:val="13"/>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37"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69" w:lineRule="auto"/>
        <w:tabs>
          <w:tab w:leader="none" w:pos="1796" w:val="left"/>
        </w:tabs>
        <w:numPr>
          <w:ilvl w:val="2"/>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24" w:lineRule="exact"/>
        <w:rPr>
          <w:rFonts w:ascii="Times New Roman" w:cs="Times New Roman" w:eastAsia="Times New Roman" w:hAnsi="Times New Roman"/>
          <w:sz w:val="12"/>
          <w:szCs w:val="12"/>
          <w:color w:val="auto"/>
        </w:rPr>
      </w:pPr>
    </w:p>
    <w:p>
      <w:pPr>
        <w:ind w:left="640" w:right="839" w:firstLine="1003"/>
        <w:spacing w:after="0" w:line="255" w:lineRule="auto"/>
        <w:tabs>
          <w:tab w:leader="none" w:pos="1831" w:val="left"/>
        </w:tabs>
        <w:numPr>
          <w:ilvl w:val="2"/>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6" w:name="page17"/>
    <w:bookmarkEnd w:id="16"/>
    <w:p>
      <w:pPr>
        <w:ind w:left="640" w:right="759" w:firstLine="693"/>
        <w:spacing w:after="0" w:line="249" w:lineRule="auto"/>
        <w:tabs>
          <w:tab w:leader="none" w:pos="150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Successors and Assigns</w:t>
      </w:r>
      <w:r>
        <w:rPr>
          <w:rFonts w:ascii="Times New Roman" w:cs="Times New Roman" w:eastAsia="Times New Roman" w:hAnsi="Times New Roman"/>
          <w:sz w:val="13"/>
          <w:szCs w:val="13"/>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 and Waiver</w:t>
      </w:r>
      <w:r>
        <w:rPr>
          <w:rFonts w:ascii="Times New Roman" w:cs="Times New Roman" w:eastAsia="Times New Roman" w:hAnsi="Times New Roman"/>
          <w:sz w:val="13"/>
          <w:szCs w:val="13"/>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provided, however, that Section 11(a) may not be amended or waived except as specifically provided therein.</w:t>
      </w:r>
    </w:p>
    <w:p>
      <w:pPr>
        <w:spacing w:after="0" w:line="132" w:lineRule="exact"/>
        <w:rPr>
          <w:rFonts w:ascii="Times New Roman" w:cs="Times New Roman" w:eastAsia="Times New Roman" w:hAnsi="Times New Roman"/>
          <w:sz w:val="13"/>
          <w:szCs w:val="13"/>
          <w:color w:val="auto"/>
        </w:rPr>
      </w:pPr>
    </w:p>
    <w:p>
      <w:pPr>
        <w:ind w:left="640" w:right="979" w:firstLine="693"/>
        <w:spacing w:after="0" w:line="267" w:lineRule="auto"/>
        <w:tabs>
          <w:tab w:leader="none" w:pos="150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Acceptance</w:t>
      </w:r>
      <w:r>
        <w:rPr>
          <w:rFonts w:ascii="Times New Roman" w:cs="Times New Roman" w:eastAsia="Times New Roman" w:hAnsi="Times New Roman"/>
          <w:sz w:val="13"/>
          <w:szCs w:val="13"/>
          <w:color w:val="auto"/>
        </w:rPr>
        <w:t>. Receipt of this Warrant by the Holder shall constitute acceptance of and agreement to all of the terms and conditions contained herein.</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494"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Jurisdiction</w:t>
      </w:r>
      <w:r>
        <w:rPr>
          <w:rFonts w:ascii="Times New Roman" w:cs="Times New Roman" w:eastAsia="Times New Roman" w:hAnsi="Times New Roman"/>
          <w:sz w:val="13"/>
          <w:szCs w:val="13"/>
          <w:color w:val="auto"/>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 w:cs="Times New Roman" w:eastAsia="Times New Roman" w:hAnsi="Times New Roman"/>
          <w:sz w:val="13"/>
          <w:szCs w:val="13"/>
          <w:b w:val="1"/>
          <w:bCs w:val="1"/>
          <w:i w:val="1"/>
          <w:iCs w:val="1"/>
          <w:color w:val="auto"/>
        </w:rPr>
        <w:t>Specified Courts</w:t>
      </w:r>
      <w:r>
        <w:rPr>
          <w:rFonts w:ascii="Times New Roman" w:cs="Times New Roman" w:eastAsia="Times New Roman" w:hAnsi="Times New Roman"/>
          <w:sz w:val="13"/>
          <w:szCs w:val="13"/>
          <w:color w:val="auto"/>
        </w:rPr>
        <w:t>”).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w:t>
      </w:r>
    </w:p>
    <w:p>
      <w:pPr>
        <w:spacing w:after="0" w:line="138" w:lineRule="exact"/>
        <w:rPr>
          <w:rFonts w:ascii="Times New Roman" w:cs="Times New Roman" w:eastAsia="Times New Roman" w:hAnsi="Times New Roman"/>
          <w:sz w:val="13"/>
          <w:szCs w:val="13"/>
          <w:color w:val="auto"/>
        </w:rPr>
      </w:pPr>
    </w:p>
    <w:p>
      <w:pPr>
        <w:ind w:left="640" w:right="879" w:firstLine="693"/>
        <w:spacing w:after="0" w:line="267" w:lineRule="auto"/>
        <w:tabs>
          <w:tab w:leader="none" w:pos="151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headings herein are for convenience only, do not constitute a part of this Warrant and shall not be deemed to limit or affect any of the provisions hereof.</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7" w:name="page18"/>
    <w:bookmarkEnd w:id="17"/>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EXERCISE NOTICE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 be executed by the Holder to purchase shares of Common Stock under the Warrant]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52" w:lineRule="exact"/>
        <w:rPr>
          <w:sz w:val="20"/>
          <w:szCs w:val="20"/>
          <w:color w:val="auto"/>
        </w:rPr>
      </w:pPr>
    </w:p>
    <w:p>
      <w:pPr>
        <w:ind w:left="640" w:right="819" w:hanging="3"/>
        <w:spacing w:after="0" w:line="270" w:lineRule="auto"/>
        <w:tabs>
          <w:tab w:leader="none" w:pos="8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is the Holder of Warrant No. [ • ] (the “</w:t>
      </w:r>
      <w:r>
        <w:rPr>
          <w:rFonts w:ascii="Times New Roman" w:cs="Times New Roman" w:eastAsia="Times New Roman" w:hAnsi="Times New Roman"/>
          <w:sz w:val="13"/>
          <w:szCs w:val="13"/>
          <w:b w:val="1"/>
          <w:bCs w:val="1"/>
          <w:i w:val="1"/>
          <w:iCs w:val="1"/>
          <w:color w:val="auto"/>
        </w:rPr>
        <w:t>Warrant</w:t>
      </w:r>
      <w:r>
        <w:rPr>
          <w:rFonts w:ascii="Times New Roman" w:cs="Times New Roman" w:eastAsia="Times New Roman" w:hAnsi="Times New Roman"/>
          <w:sz w:val="13"/>
          <w:szCs w:val="13"/>
          <w:color w:val="auto"/>
        </w:rPr>
        <w:t xml:space="preserve">”) issued by </w:t>
      </w:r>
      <w:r>
        <w:rPr>
          <w:rFonts w:ascii="Times New Roman" w:cs="Times New Roman" w:eastAsia="Times New Roman" w:hAnsi="Times New Roman"/>
          <w:sz w:val="13"/>
          <w:szCs w:val="13"/>
          <w:b w:val="1"/>
          <w:bCs w:val="1"/>
          <w:color w:val="auto"/>
        </w:rPr>
        <w:t>CALCIMEDICA, INC.</w:t>
      </w:r>
      <w:r>
        <w:rPr>
          <w:rFonts w:ascii="Times New Roman" w:cs="Times New Roman" w:eastAsia="Times New Roman" w:hAnsi="Times New Roman"/>
          <w:sz w:val="13"/>
          <w:szCs w:val="13"/>
          <w:color w:val="auto"/>
        </w:rPr>
        <w:t>,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Capitalized terms used herein and not otherwise defined herein have the respective meanings set forth in the Warrant.</w:t>
      </w:r>
    </w:p>
    <w:p>
      <w:pPr>
        <w:spacing w:after="0" w:line="120"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hereby exercises its right to purchase Warrant Shares pursuant to the Warrant.</w:t>
      </w:r>
    </w:p>
    <w:p>
      <w:pPr>
        <w:spacing w:after="0" w:line="153"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intends that payment of the Exercise Price shall be made as (check one):</w:t>
      </w:r>
    </w:p>
    <w:p>
      <w:pPr>
        <w:spacing w:after="0" w:line="77"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1"/>
          <w:numId w:val="19"/>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Cash Exercise</w:t>
      </w:r>
    </w:p>
    <w:p>
      <w:pPr>
        <w:spacing w:after="0" w:line="77" w:lineRule="exact"/>
        <w:rPr>
          <w:rFonts w:ascii="MS PGothic" w:cs="MS PGothic" w:eastAsia="MS PGothic" w:hAnsi="MS PGothic"/>
          <w:sz w:val="13"/>
          <w:szCs w:val="13"/>
          <w:color w:val="auto"/>
        </w:rPr>
      </w:pPr>
    </w:p>
    <w:p>
      <w:pPr>
        <w:ind w:left="1100" w:hanging="153"/>
        <w:spacing w:after="0"/>
        <w:tabs>
          <w:tab w:leader="none" w:pos="1100" w:val="left"/>
        </w:tabs>
        <w:numPr>
          <w:ilvl w:val="1"/>
          <w:numId w:val="19"/>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“Cashless Exercise” under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of the Warrant</w:t>
      </w:r>
    </w:p>
    <w:p>
      <w:pPr>
        <w:spacing w:after="0" w:line="153" w:lineRule="exact"/>
        <w:rPr>
          <w:rFonts w:ascii="MS PGothic" w:cs="MS PGothic" w:eastAsia="MS PGothic" w:hAnsi="MS PGothic"/>
          <w:sz w:val="13"/>
          <w:szCs w:val="13"/>
          <w:color w:val="auto"/>
        </w:rPr>
      </w:pPr>
    </w:p>
    <w:p>
      <w:pPr>
        <w:ind w:left="640" w:right="779" w:hanging="3"/>
        <w:spacing w:after="0" w:line="267" w:lineRule="auto"/>
        <w:tabs>
          <w:tab w:leader="none" w:pos="8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Holder has elected a Cash Exercise, the Holder shall pay the sum of $[ • ] in immediately available funds to the Company in accordance with the terms of the Warrant.</w:t>
      </w:r>
    </w:p>
    <w:p>
      <w:pPr>
        <w:spacing w:after="0" w:line="122"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this Exercise Notice, the Company shall deliver to the Holder Warrant Shares determined in accordance with the terms of the Warrant.</w:t>
      </w:r>
    </w:p>
    <w:p>
      <w:pPr>
        <w:spacing w:after="0" w:line="165" w:lineRule="exact"/>
        <w:rPr>
          <w:rFonts w:ascii="Times New Roman" w:cs="Times New Roman" w:eastAsia="Times New Roman" w:hAnsi="Times New Roman"/>
          <w:sz w:val="12"/>
          <w:szCs w:val="12"/>
          <w:color w:val="auto"/>
        </w:rPr>
      </w:pPr>
    </w:p>
    <w:p>
      <w:pPr>
        <w:ind w:left="640" w:right="699" w:hanging="3"/>
        <w:spacing w:after="0" w:line="255" w:lineRule="auto"/>
        <w:tabs>
          <w:tab w:leader="none" w:pos="8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the Warrant to which this notice relates.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9525</wp:posOffset>
            </wp:positionV>
            <wp:extent cx="129413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130"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9525</wp:posOffset>
            </wp:positionV>
            <wp:extent cx="129413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4130" cy="571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 must conform in all respects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to name of Holder as specified on the face of the Warrant)</w:t>
      </w:r>
    </w:p>
    <w:p>
      <w:pPr>
        <w:sectPr>
          <w:pgSz w:w="11900" w:h="16838" w:orient="portrait"/>
          <w:cols w:equalWidth="0" w:num="1">
            <w:col w:w="9019"/>
          </w:cols>
          <w:pgMar w:left="1440" w:top="229" w:right="1440" w:bottom="1440" w:gutter="0" w:footer="0" w:header="0"/>
        </w:sectPr>
      </w:pPr>
    </w:p>
    <w:bookmarkStart w:id="19" w:name="page20"/>
    <w:bookmarkEnd w:id="1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4.2</w:t>
      </w:r>
    </w:p>
    <w:p>
      <w:pPr>
        <w:spacing w:after="0" w:line="15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2"/>
          <w:szCs w:val="12"/>
          <w:i w:val="1"/>
          <w:iCs w:val="1"/>
          <w:color w:val="auto"/>
        </w:rPr>
        <w:t>Execution Version</w:t>
      </w:r>
    </w:p>
    <w:p>
      <w:pPr>
        <w:spacing w:after="0" w:line="165"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p>
      <w:pPr>
        <w:spacing w:after="0" w:line="1" w:lineRule="exact"/>
        <w:rPr>
          <w:sz w:val="20"/>
          <w:szCs w:val="20"/>
          <w:color w:val="auto"/>
        </w:rPr>
      </w:pPr>
    </w:p>
    <w:p>
      <w:pPr>
        <w:ind w:left="640" w:right="759"/>
        <w:spacing w:after="0" w:line="244" w:lineRule="auto"/>
        <w:rPr>
          <w:sz w:val="20"/>
          <w:szCs w:val="20"/>
          <w:color w:val="auto"/>
        </w:rPr>
      </w:pPr>
      <w:r>
        <w:rPr>
          <w:rFonts w:ascii="Times New Roman" w:cs="Times New Roman" w:eastAsia="Times New Roman" w:hAnsi="Times New Roman"/>
          <w:sz w:val="13"/>
          <w:szCs w:val="13"/>
          <w:b w:val="1"/>
          <w:bCs w:val="1"/>
          <w:color w:val="auto"/>
        </w:rPr>
        <w:t>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SERIES A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SERIES A WARRANT TO PURCHASE COMMON STOCK OR PRE-FUNDED WARRANTS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Warrant No.: Series A-[_]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Common Stock or Pre-Funded Warrants: [_]</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of Issuance: Stockholder Approval Date (as defined in the Purchase Agreement) (“</w:t>
      </w:r>
      <w:r>
        <w:rPr>
          <w:rFonts w:ascii="Times New Roman" w:cs="Times New Roman" w:eastAsia="Times New Roman" w:hAnsi="Times New Roman"/>
          <w:sz w:val="13"/>
          <w:szCs w:val="13"/>
          <w:b w:val="1"/>
          <w:bCs w:val="1"/>
          <w:i w:val="1"/>
          <w:iCs w:val="1"/>
          <w:color w:val="auto"/>
        </w:rPr>
        <w:t>Issuance Date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CalciMedica, Inc., a company organized under the laws of Delaware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hereby certifies that, for good and valuable consideration, the receipt and sufficiency of which are hereby acknowledged, [HOLDER], the registered holder hereof or its permitted assigns (the “</w:t>
      </w:r>
      <w:r>
        <w:rPr>
          <w:rFonts w:ascii="Times New Roman" w:cs="Times New Roman" w:eastAsia="Times New Roman" w:hAnsi="Times New Roman"/>
          <w:sz w:val="12"/>
          <w:szCs w:val="12"/>
          <w:b w:val="1"/>
          <w:bCs w:val="1"/>
          <w:i w:val="1"/>
          <w:iCs w:val="1"/>
          <w:color w:val="auto"/>
        </w:rPr>
        <w:t>Holder</w:t>
      </w:r>
      <w:r>
        <w:rPr>
          <w:rFonts w:ascii="Times New Roman" w:cs="Times New Roman" w:eastAsia="Times New Roman" w:hAnsi="Times New Roman"/>
          <w:sz w:val="12"/>
          <w:szCs w:val="12"/>
          <w:color w:val="auto"/>
        </w:rPr>
        <w:t>”), is 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cs="Times New Roman" w:eastAsia="Times New Roman" w:hAnsi="Times New Roman"/>
          <w:sz w:val="12"/>
          <w:szCs w:val="12"/>
          <w:b w:val="1"/>
          <w:bCs w:val="1"/>
          <w:i w:val="1"/>
          <w:iCs w:val="1"/>
          <w:color w:val="auto"/>
        </w:rPr>
        <w:t>Exercisability Period</w:t>
      </w:r>
      <w:r>
        <w:rPr>
          <w:rFonts w:ascii="Times New Roman" w:cs="Times New Roman" w:eastAsia="Times New Roman" w:hAnsi="Times New Roman"/>
          <w:sz w:val="12"/>
          <w:szCs w:val="12"/>
          <w:color w:val="auto"/>
        </w:rPr>
        <w:t>”), either (x) [______________ (_____________)] fully paid non-assessable shares of Common Stock (as defined below), subject to adjustment as provided herein</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or, (y) in lieu of all or a portion of such Warrant Shares, pre-funded warrants to purchase up to [______________</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(_____________)] shares of Common Stock for a future exercise price of $0.0001 (the “</w:t>
      </w:r>
      <w:r>
        <w:rPr>
          <w:rFonts w:ascii="Times New Roman" w:cs="Times New Roman" w:eastAsia="Times New Roman" w:hAnsi="Times New Roman"/>
          <w:sz w:val="12"/>
          <w:szCs w:val="12"/>
          <w:b w:val="1"/>
          <w:bCs w:val="1"/>
          <w:i w:val="1"/>
          <w:iCs w:val="1"/>
          <w:color w:val="auto"/>
        </w:rPr>
        <w:t>Pre-Funded Warrants</w:t>
      </w:r>
      <w:r>
        <w:rPr>
          <w:rFonts w:ascii="Times New Roman" w:cs="Times New Roman" w:eastAsia="Times New Roman" w:hAnsi="Times New Roman"/>
          <w:sz w:val="12"/>
          <w:szCs w:val="12"/>
          <w:color w:val="auto"/>
        </w:rPr>
        <w:t xml:space="preserve">”), in the form attached hereto as </w:t>
      </w:r>
      <w:r>
        <w:rPr>
          <w:rFonts w:ascii="Times New Roman" w:cs="Times New Roman" w:eastAsia="Times New Roman" w:hAnsi="Times New Roman"/>
          <w:sz w:val="12"/>
          <w:szCs w:val="12"/>
          <w:u w:val="single" w:color="auto"/>
          <w:color w:val="auto"/>
        </w:rPr>
        <w:t>Exhibit</w:t>
      </w:r>
    </w:p>
    <w:p>
      <w:pPr>
        <w:spacing w:after="0" w:line="14"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with such choice between Warrant Shares and Pre-Funded Warrants determined by the Maximum Percentage (as defined below). Except as otherwise defined herein, capitalized terms in this Series A Warrant to Purchase Common Stock or Pre-Funded Warrants (including any Series A Warrants to Purchase Common Stock or Pre-Funded Warrants issued in exchange, transfer or replacement hereof, this “</w:t>
      </w:r>
      <w:r>
        <w:rPr>
          <w:rFonts w:ascii="Times New Roman" w:cs="Times New Roman" w:eastAsia="Times New Roman" w:hAnsi="Times New Roman"/>
          <w:sz w:val="13"/>
          <w:szCs w:val="13"/>
          <w:b w:val="1"/>
          <w:bCs w:val="1"/>
          <w:i w:val="1"/>
          <w:iCs w:val="1"/>
          <w:color w:val="auto"/>
        </w:rPr>
        <w:t>Warrant</w:t>
      </w:r>
      <w:r>
        <w:rPr>
          <w:rFonts w:ascii="Times New Roman" w:cs="Times New Roman" w:eastAsia="Times New Roman" w:hAnsi="Times New Roman"/>
          <w:sz w:val="13"/>
          <w:szCs w:val="13"/>
          <w:color w:val="auto"/>
        </w:rPr>
        <w:t>”), shall have the meanings set forth in Section 16. This Warrant is one of the Series A Warrants to Purchase Common Stock or Pre-Funded Warrants (the “</w:t>
      </w:r>
      <w:r>
        <w:rPr>
          <w:rFonts w:ascii="Times New Roman" w:cs="Times New Roman" w:eastAsia="Times New Roman" w:hAnsi="Times New Roman"/>
          <w:sz w:val="13"/>
          <w:szCs w:val="13"/>
          <w:b w:val="1"/>
          <w:bCs w:val="1"/>
          <w:i w:val="1"/>
          <w:iCs w:val="1"/>
          <w:color w:val="auto"/>
        </w:rPr>
        <w:t>Other Warrants</w:t>
      </w:r>
      <w:r>
        <w:rPr>
          <w:rFonts w:ascii="Times New Roman" w:cs="Times New Roman" w:eastAsia="Times New Roman" w:hAnsi="Times New Roman"/>
          <w:sz w:val="13"/>
          <w:szCs w:val="13"/>
          <w:color w:val="auto"/>
        </w:rPr>
        <w:t>”) issued pursuant to that certain Securities Purchase Agreement (the “</w:t>
      </w:r>
      <w:r>
        <w:rPr>
          <w:rFonts w:ascii="Times New Roman" w:cs="Times New Roman" w:eastAsia="Times New Roman" w:hAnsi="Times New Roman"/>
          <w:sz w:val="13"/>
          <w:szCs w:val="13"/>
          <w:b w:val="1"/>
          <w:bCs w:val="1"/>
          <w:i w:val="1"/>
          <w:iCs w:val="1"/>
          <w:color w:val="auto"/>
        </w:rPr>
        <w:t>Purchase Agreement</w:t>
      </w:r>
      <w:r>
        <w:rPr>
          <w:rFonts w:ascii="Times New Roman" w:cs="Times New Roman" w:eastAsia="Times New Roman" w:hAnsi="Times New Roman"/>
          <w:sz w:val="13"/>
          <w:szCs w:val="13"/>
          <w:color w:val="auto"/>
        </w:rPr>
        <w:t>”), dated as of June 23, 2026 (the “</w:t>
      </w:r>
      <w:r>
        <w:rPr>
          <w:rFonts w:ascii="Times New Roman" w:cs="Times New Roman" w:eastAsia="Times New Roman" w:hAnsi="Times New Roman"/>
          <w:sz w:val="13"/>
          <w:szCs w:val="13"/>
          <w:b w:val="1"/>
          <w:bCs w:val="1"/>
          <w:i w:val="1"/>
          <w:iCs w:val="1"/>
          <w:color w:val="auto"/>
        </w:rPr>
        <w:t>Subscription Date</w:t>
      </w:r>
      <w:r>
        <w:rPr>
          <w:rFonts w:ascii="Times New Roman" w:cs="Times New Roman" w:eastAsia="Times New Roman" w:hAnsi="Times New Roman"/>
          <w:sz w:val="13"/>
          <w:szCs w:val="13"/>
          <w:color w:val="auto"/>
        </w:rPr>
        <w:t>”), by and between the Company and the Purchasers on the signature pages thereto.</w:t>
      </w:r>
    </w:p>
    <w:p>
      <w:pPr>
        <w:spacing w:after="0" w:line="137" w:lineRule="exact"/>
        <w:rPr>
          <w:sz w:val="20"/>
          <w:szCs w:val="20"/>
          <w:color w:val="auto"/>
        </w:rPr>
      </w:pPr>
    </w:p>
    <w:p>
      <w:pPr>
        <w:ind w:left="1080" w:hanging="133"/>
        <w:spacing w:after="0"/>
        <w:tabs>
          <w:tab w:leader="none" w:pos="1080" w:val="left"/>
        </w:tabs>
        <w:numPr>
          <w:ilvl w:val="0"/>
          <w:numId w:val="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EXERCISE OF WARRANT</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640" w:right="679" w:firstLine="693"/>
        <w:spacing w:after="0" w:line="266" w:lineRule="auto"/>
        <w:tabs>
          <w:tab w:leader="none" w:pos="1508"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Exercise</w:t>
      </w:r>
      <w:r>
        <w:rPr>
          <w:rFonts w:ascii="Times New Roman" w:cs="Times New Roman" w:eastAsia="Times New Roman" w:hAnsi="Times New Roman"/>
          <w:sz w:val="12"/>
          <w:szCs w:val="12"/>
          <w:color w:val="auto"/>
        </w:rPr>
        <w:t xml:space="preserve">. Subject to the terms and conditions hereof (including, without limitation, the limitations set forth in Section 1(f)), this Warrant may be exercised by the Holder at any time or times during the Exercisability Period, in whole or in part, by delivery (whether via electronic mail or otherwise) of a written notice,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Exercise Notice</w:t>
      </w:r>
      <w:r>
        <w:rPr>
          <w:rFonts w:ascii="Times New Roman" w:cs="Times New Roman" w:eastAsia="Times New Roman" w:hAnsi="Times New Roman"/>
          <w:sz w:val="12"/>
          <w:szCs w:val="12"/>
          <w:color w:val="auto"/>
        </w:rPr>
        <w:t xml:space="preserve">”) (and such date on which the Exercise Notice is delivered (as determined in accordance with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hereof), the “</w:t>
      </w:r>
      <w:r>
        <w:rPr>
          <w:rFonts w:ascii="Times New Roman" w:cs="Times New Roman" w:eastAsia="Times New Roman" w:hAnsi="Times New Roman"/>
          <w:sz w:val="12"/>
          <w:szCs w:val="12"/>
          <w:b w:val="1"/>
          <w:bCs w:val="1"/>
          <w:i w:val="1"/>
          <w:iCs w:val="1"/>
          <w:color w:val="auto"/>
        </w:rPr>
        <w:t>Exercise Date</w:t>
      </w:r>
      <w:r>
        <w:rPr>
          <w:rFonts w:ascii="Times New Roman" w:cs="Times New Roman" w:eastAsia="Times New Roman" w:hAnsi="Times New Roman"/>
          <w:sz w:val="12"/>
          <w:szCs w:val="12"/>
          <w:color w:val="auto"/>
        </w:rPr>
        <w:t>”), of the Holder’s election to exercise this Warrant. Within one (1) Trading Day following delivery of the Exercise Notice, the Holder shall pay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cs="Times New Roman" w:eastAsia="Times New Roman" w:hAnsi="Times New Roman"/>
          <w:sz w:val="12"/>
          <w:szCs w:val="12"/>
          <w:b w:val="1"/>
          <w:bCs w:val="1"/>
          <w:i w:val="1"/>
          <w:iCs w:val="1"/>
          <w:color w:val="auto"/>
        </w:rPr>
        <w:t>Aggregate Exercise Price</w:t>
      </w:r>
      <w:r>
        <w:rPr>
          <w:rFonts w:ascii="Times New Roman" w:cs="Times New Roman" w:eastAsia="Times New Roman" w:hAnsi="Times New Roman"/>
          <w:sz w:val="12"/>
          <w:szCs w:val="12"/>
          <w:color w:val="auto"/>
        </w:rPr>
        <w:t>”), or, if the provisions of</w:t>
      </w:r>
    </w:p>
    <w:p>
      <w:pPr>
        <w:spacing w:after="0" w:line="3" w:lineRule="exact"/>
        <w:rPr>
          <w:rFonts w:ascii="Times New Roman" w:cs="Times New Roman" w:eastAsia="Times New Roman" w:hAnsi="Times New Roman"/>
          <w:sz w:val="12"/>
          <w:szCs w:val="12"/>
          <w:color w:val="auto"/>
        </w:rPr>
      </w:pPr>
    </w:p>
    <w:p>
      <w:pPr>
        <w:jc w:val="both"/>
        <w:ind w:left="640" w:right="699"/>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1(c) are applicable by notifying the Company that this Warrant is being exercised pursuant to a Cashless Exercise (as defined in Section 1(c)) in cash by wire transfer of immediately available. The Holder shall not be required to deliver the original Warrant in order to effect an exercise hereunder, nor shall any ink-original signature or medallion guarantee (or other type of guarantee or notarization) with respect to any Exercise Notice be required.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20" w:name="page21"/>
    <w:bookmarkEnd w:id="20"/>
    <w:p>
      <w:pPr>
        <w:ind w:left="640" w:right="659"/>
        <w:spacing w:after="0" w:line="26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the Exercise Date, the Company shall transmit by electronic mail an acknowledgment of confirmation of receipt of the Exercise Notice and Aggregate Exercise Price to the Holder and the Company’s transfer agent (the “</w:t>
      </w:r>
      <w:r>
        <w:rPr>
          <w:rFonts w:ascii="Times New Roman" w:cs="Times New Roman" w:eastAsia="Times New Roman" w:hAnsi="Times New Roman"/>
          <w:sz w:val="12"/>
          <w:szCs w:val="12"/>
          <w:b w:val="1"/>
          <w:bCs w:val="1"/>
          <w:i w:val="1"/>
          <w:iCs w:val="1"/>
          <w:color w:val="auto"/>
        </w:rPr>
        <w:t>Transfer Agent</w:t>
      </w:r>
      <w:r>
        <w:rPr>
          <w:rFonts w:ascii="Times New Roman" w:cs="Times New Roman" w:eastAsia="Times New Roman" w:hAnsi="Times New Roman"/>
          <w:sz w:val="12"/>
          <w:szCs w:val="12"/>
          <w:color w:val="auto"/>
        </w:rPr>
        <w:t>”). Upon exercise of this Warrant, if there is an effective registration statement permitting the issuance of the Warrant Shares to or the resale of such Warrant Shares by the Holder (“</w:t>
      </w:r>
      <w:r>
        <w:rPr>
          <w:rFonts w:ascii="Times New Roman" w:cs="Times New Roman" w:eastAsia="Times New Roman" w:hAnsi="Times New Roman"/>
          <w:sz w:val="12"/>
          <w:szCs w:val="12"/>
          <w:b w:val="1"/>
          <w:bCs w:val="1"/>
          <w:i w:val="1"/>
          <w:iCs w:val="1"/>
          <w:color w:val="auto"/>
        </w:rPr>
        <w:t>Registration Condition</w:t>
      </w:r>
      <w:r>
        <w:rPr>
          <w:rFonts w:ascii="Times New Roman" w:cs="Times New Roman" w:eastAsia="Times New Roman" w:hAnsi="Times New Roman"/>
          <w:sz w:val="12"/>
          <w:szCs w:val="12"/>
          <w:color w:val="auto"/>
        </w:rPr>
        <w:t>”), the Company shall promptly (but in no event later than the number of Trading Days compromising the Standard Settlement Period following the Exercise Date provided that the Aggregate Exercise Price has been received by the Company before 12:00 p.m. Eastern Time on such date, and if not, the Trading Day following receipt of such Aggregate Exercise Price (such date, the “</w:t>
      </w:r>
      <w:r>
        <w:rPr>
          <w:rFonts w:ascii="Times New Roman" w:cs="Times New Roman" w:eastAsia="Times New Roman" w:hAnsi="Times New Roman"/>
          <w:sz w:val="12"/>
          <w:szCs w:val="12"/>
          <w:b w:val="1"/>
          <w:bCs w:val="1"/>
          <w:i w:val="1"/>
          <w:iCs w:val="1"/>
          <w:color w:val="auto"/>
        </w:rPr>
        <w:t>Delivery Date</w:t>
      </w:r>
      <w:r>
        <w:rPr>
          <w:rFonts w:ascii="Times New Roman" w:cs="Times New Roman" w:eastAsia="Times New Roman" w:hAnsi="Times New Roman"/>
          <w:sz w:val="12"/>
          <w:szCs w:val="12"/>
          <w:color w:val="auto"/>
        </w:rPr>
        <w:t>”)), cause the Transfer Agent to (x) if the Transfer Agent is participating in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Fast Automated Securities Transfer Program (“</w:t>
      </w:r>
      <w:r>
        <w:rPr>
          <w:rFonts w:ascii="Times New Roman" w:cs="Times New Roman" w:eastAsia="Times New Roman" w:hAnsi="Times New Roman"/>
          <w:sz w:val="12"/>
          <w:szCs w:val="12"/>
          <w:b w:val="1"/>
          <w:bCs w:val="1"/>
          <w:i w:val="1"/>
          <w:iCs w:val="1"/>
          <w:color w:val="auto"/>
        </w:rPr>
        <w:t>FAST</w:t>
      </w:r>
      <w:r>
        <w:rPr>
          <w:rFonts w:ascii="Times New Roman" w:cs="Times New Roman" w:eastAsia="Times New Roman" w:hAnsi="Times New Roman"/>
          <w:sz w:val="12"/>
          <w:szCs w:val="12"/>
          <w:color w:val="auto"/>
        </w:rPr>
        <w:t>”), credit such aggregate number of Warrant Shares to which the Holder is entitled pursuant to such exercise to the Holder’s or its designee’s balance account with DTC through its Deposit / Withdrawal At Custodian system or (y) if the Transfer Agent is not participating in FAST, credit such aggregate number of Warrant Shares to which the Holder is entitled pursuant to such exercise to the Holder’s or its designee’s balance account in book entry form via a direct registration system (“</w:t>
      </w:r>
      <w:r>
        <w:rPr>
          <w:rFonts w:ascii="Times New Roman" w:cs="Times New Roman" w:eastAsia="Times New Roman" w:hAnsi="Times New Roman"/>
          <w:sz w:val="12"/>
          <w:szCs w:val="12"/>
          <w:b w:val="1"/>
          <w:bCs w:val="1"/>
          <w:i w:val="1"/>
          <w:iCs w:val="1"/>
          <w:color w:val="auto"/>
        </w:rPr>
        <w:t>DRS</w:t>
      </w:r>
      <w:r>
        <w:rPr>
          <w:rFonts w:ascii="Times New Roman" w:cs="Times New Roman" w:eastAsia="Times New Roman" w:hAnsi="Times New Roman"/>
          <w:sz w:val="12"/>
          <w:szCs w:val="12"/>
          <w:color w:val="auto"/>
        </w:rPr>
        <w:t>”) maintained by or on behalf of the Transfer Agent. If the Registration Condition is not met or the exercise is for Pre-Funded Warrants and not Warrant Shares, as applicable, (i) the Transfer Agent will, by the Delivery Date, at the request of the Holder, either (A) issue and dispatch by overnight courier to the address as specified in the Exercise Notice, a certificate registered in the name of the Holder or its designee, for the number of Warrant Shares to which the Holder is entitled pursuant to such exercise with an appropriate legend regarding restriction on transferability or (B) issue and record in the name of the Holder or its designee the number of Warrant Shares to which the Holder is entitled pursuant to such exercise in restricted book-entry form in the Company’s share register and deliver an electronic statement of such issuance to the electronic mail address as specified in the Exercise Notice and/or (ii) the warrant agent for the Pre-Funded Warrants (the “</w:t>
      </w:r>
      <w:r>
        <w:rPr>
          <w:rFonts w:ascii="Times New Roman" w:cs="Times New Roman" w:eastAsia="Times New Roman" w:hAnsi="Times New Roman"/>
          <w:sz w:val="12"/>
          <w:szCs w:val="12"/>
          <w:b w:val="1"/>
          <w:bCs w:val="1"/>
          <w:i w:val="1"/>
          <w:iCs w:val="1"/>
          <w:color w:val="auto"/>
        </w:rPr>
        <w:t>PFW Agent</w:t>
      </w:r>
      <w:r>
        <w:rPr>
          <w:rFonts w:ascii="Times New Roman" w:cs="Times New Roman" w:eastAsia="Times New Roman" w:hAnsi="Times New Roman"/>
          <w:sz w:val="12"/>
          <w:szCs w:val="12"/>
          <w:color w:val="auto"/>
        </w:rPr>
        <w:t>”) will, by the Delivery Date, issue and dispatch by overnight courier or electronic mail (at the request of the Holder) to the address as specified in the Exercise Notice, Pre-Funded Warrants registered in the name of the Holder or its designee, exercisable for the number of shares of Common Stock to which the Holder is entitled pursuant to such exercise. The Company shall be responsible for all fees and expenses of the Transfer Agent, the PFW Agent and all fees and expenses with respect to the issuance of Warrant Shares via DTC, if any. Upon the Exercise Date, the Holder shall be deemed solely for purposes of Regulation SHO to have become the holder of record and beneficial owner of the Warrant Shares or Pre-Funded Warrants with respect to which this Warrant has been exercised, irrespective of the date such Warrant Shares are credited to the Holder’s DTC account or the date of delivery of the certificates evidencing such Warrant Shares or the Pre-Funded Warrants.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and the PFW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(including payment of the Aggregate Exercise Price)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1" w:name="page22"/>
    <w:bookmarkEnd w:id="21"/>
    <w:p>
      <w:pPr>
        <w:ind w:left="640" w:right="759" w:firstLine="693"/>
        <w:spacing w:after="0" w:line="270" w:lineRule="auto"/>
        <w:tabs>
          <w:tab w:leader="none" w:pos="1515"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Exercise Price</w:t>
      </w:r>
      <w:r>
        <w:rPr>
          <w:rFonts w:ascii="Times New Roman" w:cs="Times New Roman" w:eastAsia="Times New Roman" w:hAnsi="Times New Roman"/>
          <w:sz w:val="13"/>
          <w:szCs w:val="13"/>
          <w:color w:val="auto"/>
        </w:rPr>
        <w:t>. For purposes of this Warrant, “</w:t>
      </w:r>
      <w:r>
        <w:rPr>
          <w:rFonts w:ascii="Times New Roman" w:cs="Times New Roman" w:eastAsia="Times New Roman" w:hAnsi="Times New Roman"/>
          <w:sz w:val="13"/>
          <w:szCs w:val="13"/>
          <w:b w:val="1"/>
          <w:bCs w:val="1"/>
          <w:i w:val="1"/>
          <w:iCs w:val="1"/>
          <w:color w:val="auto"/>
        </w:rPr>
        <w:t>Exercise Price</w:t>
      </w:r>
      <w:r>
        <w:rPr>
          <w:rFonts w:ascii="Times New Roman" w:cs="Times New Roman" w:eastAsia="Times New Roman" w:hAnsi="Times New Roman"/>
          <w:sz w:val="13"/>
          <w:szCs w:val="13"/>
          <w:color w:val="auto"/>
        </w:rPr>
        <w:t>” means $0.8033 per share for Warrant Shares and $0.0001 per share for each share of Common Stock underlying the Pre-Funded Warrants, subject to adjustment as provided herein.</w:t>
      </w:r>
    </w:p>
    <w:p>
      <w:pPr>
        <w:spacing w:after="0" w:line="120"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0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Cashless Exercise</w:t>
      </w:r>
      <w:r>
        <w:rPr>
          <w:rFonts w:ascii="Times New Roman" w:cs="Times New Roman" w:eastAsia="Times New Roman" w:hAnsi="Times New Roman"/>
          <w:sz w:val="13"/>
          <w:szCs w:val="13"/>
          <w:color w:val="auto"/>
        </w:rPr>
        <w:t>. Notwithstanding anything herein to the contrary, if following the date that is six (6) months following the Issuance Date of this Warrant, a registration statement covering the resale of the Exercise Notice Warrant Shares (as defined in Section 1(d)) is not available for the resale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X = Y [(A-B)/A]</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where:</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“X” equals the number of Warrant Shares to be issued to the Holder;</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“Y” equals the total number of Warrant Shares with respect to which this Warrant is then being exercised;</w:t>
      </w:r>
    </w:p>
    <w:p>
      <w:pPr>
        <w:spacing w:after="0" w:line="78" w:lineRule="exact"/>
        <w:rPr>
          <w:sz w:val="20"/>
          <w:szCs w:val="20"/>
          <w:color w:val="auto"/>
        </w:rPr>
      </w:pPr>
    </w:p>
    <w:p>
      <w:pPr>
        <w:ind w:left="940" w:right="779" w:firstLine="297"/>
        <w:spacing w:after="0" w:line="267" w:lineRule="auto"/>
        <w:rPr>
          <w:sz w:val="20"/>
          <w:szCs w:val="20"/>
          <w:color w:val="auto"/>
        </w:rPr>
      </w:pPr>
      <w:r>
        <w:rPr>
          <w:rFonts w:ascii="Times New Roman" w:cs="Times New Roman" w:eastAsia="Times New Roman" w:hAnsi="Times New Roman"/>
          <w:sz w:val="13"/>
          <w:szCs w:val="13"/>
          <w:color w:val="auto"/>
        </w:rPr>
        <w:t>“A” equals the Closing Sale Price of the shares of Common Stock (as reported by Bloomberg Financial Markets) as of the Trading Day on the date immediately preceding the Exercise Date; and</w:t>
      </w:r>
    </w:p>
    <w:p>
      <w:pPr>
        <w:spacing w:after="0" w:line="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“B” equals the Exercise Price then in effect for the applicable Warrant Shares at the time of such exercise.</w:t>
      </w:r>
    </w:p>
    <w:p>
      <w:pPr>
        <w:spacing w:after="0" w:line="154"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Commission continues to take the position that such treatment is proper at the time of such exercise). In the event that a registration statement registering the resale of Warrant Shares is, for any reason, not effective at the time of exercise of this Warrant, then the Warrant may only be exercised through a cashless exercise, as set forth in this Section 1(c). If the Warrant Shares are issued in such a cashless exercise, the Company acknowledges and agrees that, in accordance with Section 3(a)(9) of the Securities Act, the Exercise Notice Warrant Shares issued in such exercise shall take on the registered characteristics of the Warrants being exercised and may be tacked on to the holding period of the Warrants being exercised.</w:t>
      </w:r>
    </w:p>
    <w:p>
      <w:pPr>
        <w:spacing w:after="0" w:line="139" w:lineRule="exact"/>
        <w:rPr>
          <w:sz w:val="20"/>
          <w:szCs w:val="20"/>
          <w:color w:val="auto"/>
        </w:rPr>
      </w:pPr>
    </w:p>
    <w:p>
      <w:pPr>
        <w:ind w:left="640" w:right="659" w:firstLine="693"/>
        <w:spacing w:after="0" w:line="269" w:lineRule="auto"/>
        <w:tabs>
          <w:tab w:leader="none" w:pos="1515"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Company’s Failure to Timely Deliver Securities</w:t>
      </w:r>
      <w:r>
        <w:rPr>
          <w:rFonts w:ascii="Times New Roman" w:cs="Times New Roman" w:eastAsia="Times New Roman" w:hAnsi="Times New Roman"/>
          <w:sz w:val="12"/>
          <w:szCs w:val="12"/>
          <w:color w:val="auto"/>
        </w:rPr>
        <w:t>. If either (I) the Company shall fail for any reason or for no reason to issue or cause the issuance to the Holder or its designee of the Warrant Shares or Pre-Funded Warrants that are the subject of the Exercise Notice (the “</w:t>
      </w:r>
      <w:r>
        <w:rPr>
          <w:rFonts w:ascii="Times New Roman" w:cs="Times New Roman" w:eastAsia="Times New Roman" w:hAnsi="Times New Roman"/>
          <w:sz w:val="12"/>
          <w:szCs w:val="12"/>
          <w:b w:val="1"/>
          <w:bCs w:val="1"/>
          <w:i w:val="1"/>
          <w:iCs w:val="1"/>
          <w:color w:val="auto"/>
        </w:rPr>
        <w:t>Exercise Notice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Warrant Shares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Exercise Notice Pre-Funded Warrants</w:t>
      </w:r>
      <w:r>
        <w:rPr>
          <w:rFonts w:ascii="Times New Roman" w:cs="Times New Roman" w:eastAsia="Times New Roman" w:hAnsi="Times New Roman"/>
          <w:sz w:val="12"/>
          <w:szCs w:val="12"/>
          <w:color w:val="auto"/>
        </w:rPr>
        <w:t>”, as applicable) on or prior to the applicable Delivery Date or (II) the Registration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Condition is not met with respect to the Exercise Notice Warrant Shares and (x) the Company fails to promptly, but in no event later than one</w:t>
      </w:r>
    </w:p>
    <w:p>
      <w:pPr>
        <w:ind w:left="640" w:right="659" w:hanging="3"/>
        <w:spacing w:after="0" w:line="243" w:lineRule="auto"/>
        <w:tabs>
          <w:tab w:leader="none" w:pos="819"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 after such registration statement becomes unavailable, to so notify the Holder and (y) the Company is unable to deliver the Exercise Notice Warrant Shares electronically by the Delivery Date without any restrictive legend by crediting such aggregate number of Exercise Notice Warrant Shares to the Holder’s or its designee’s balance account with DTC through its Deposit / Withdrawal At Custodian system or in book entry from via a DRS, as applicable, (the event described in the immediately foregoing clause (II) together with the event described in clause (I) above, an “</w:t>
      </w:r>
      <w:r>
        <w:rPr>
          <w:rFonts w:ascii="Times New Roman" w:cs="Times New Roman" w:eastAsia="Times New Roman" w:hAnsi="Times New Roman"/>
          <w:sz w:val="13"/>
          <w:szCs w:val="13"/>
          <w:b w:val="1"/>
          <w:bCs w:val="1"/>
          <w:i w:val="1"/>
          <w:iCs w:val="1"/>
          <w:color w:val="auto"/>
        </w:rPr>
        <w:t>Exercise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Failure</w:t>
      </w:r>
      <w:r>
        <w:rPr>
          <w:rFonts w:ascii="Times New Roman" w:cs="Times New Roman" w:eastAsia="Times New Roman" w:hAnsi="Times New Roman"/>
          <w:sz w:val="13"/>
          <w:szCs w:val="13"/>
          <w:color w:val="auto"/>
        </w:rPr>
        <w:t>”), in each case other than any failure caused by incorrect or incomplete information provided by the Holder to the Company, and following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applicable Delivery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cs="Times New Roman" w:eastAsia="Times New Roman" w:hAnsi="Times New Roman"/>
          <w:sz w:val="13"/>
          <w:szCs w:val="13"/>
          <w:b w:val="1"/>
          <w:bCs w:val="1"/>
          <w:i w:val="1"/>
          <w:iCs w:val="1"/>
          <w:color w:val="auto"/>
        </w:rPr>
        <w:t>Buy-In</w:t>
      </w:r>
      <w:r>
        <w:rPr>
          <w:rFonts w:ascii="Times New Roman" w:cs="Times New Roman" w:eastAsia="Times New Roman" w:hAnsi="Times New Roman"/>
          <w:sz w:val="13"/>
          <w:szCs w:val="13"/>
          <w:color w:val="auto"/>
        </w:rPr>
        <w:t>”), then, in addition to all other remedies available to the Holder,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2" w:name="page23"/>
    <w:bookmarkEnd w:id="22"/>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rescission of an exercise shall not affect the Company’s obligation to make any payments that have accrued prior to the date of such notice pursuant to this Section 1(d) or otherwise, and (ii) if the Registration Condition is not met with respect to the Exercise Notice Warrant Shares and the Holder has submitted an Exercise Notice prior to receiving notice of the non-availability of such registration statement and the Company has not already delivered the Exercise Notice Warrant Shares electronically without any restrictive legend by crediting such aggregate number of Exercise Notice Warrant Shares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rescission of an Exercise Notice shall not affect the Company’s obligation to make any payments that have accrued prior to the date of such notice pursuant to this Section 1(d)or otherwise and/or switch some or all of such Exercise Notice from a cash exercise to a Cashless Exercise.</w:t>
      </w:r>
    </w:p>
    <w:p>
      <w:pPr>
        <w:spacing w:after="0" w:line="286" w:lineRule="exact"/>
        <w:rPr>
          <w:sz w:val="20"/>
          <w:szCs w:val="20"/>
          <w:color w:val="auto"/>
        </w:rPr>
      </w:pPr>
    </w:p>
    <w:p>
      <w:pPr>
        <w:ind w:left="640" w:right="679" w:firstLine="693"/>
        <w:spacing w:after="0" w:line="255" w:lineRule="auto"/>
        <w:tabs>
          <w:tab w:leader="none" w:pos="150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Disputes</w:t>
      </w:r>
      <w:r>
        <w:rPr>
          <w:rFonts w:ascii="Times New Roman" w:cs="Times New Roman" w:eastAsia="Times New Roman" w:hAnsi="Times New Roman"/>
          <w:sz w:val="13"/>
          <w:szCs w:val="13"/>
          <w:color w:val="auto"/>
        </w:rPr>
        <w:t>. In the case of a dispute as to the determination of the applicable Exercise Price or the arithmetic calculation of the Warrant Shares and/or Pre-Funded Warrants, the Company shall promptly issue to the Holder the number of Warrant Shares and/or Pre-Funded Warrants that are not disputed and resolve such dispute in accordance with Section 11.</w:t>
      </w:r>
    </w:p>
    <w:p>
      <w:pPr>
        <w:spacing w:after="0" w:line="13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[4.99][9.99][19.99]% (the “</w:t>
      </w:r>
      <w:r>
        <w:rPr>
          <w:rFonts w:ascii="Times New Roman" w:cs="Times New Roman" w:eastAsia="Times New Roman" w:hAnsi="Times New Roman"/>
          <w:sz w:val="13"/>
          <w:szCs w:val="13"/>
          <w:b w:val="1"/>
          <w:bCs w:val="1"/>
          <w:i w:val="1"/>
          <w:iCs w:val="1"/>
          <w:color w:val="auto"/>
        </w:rPr>
        <w:t>Maximum Percentage</w:t>
      </w:r>
      <w:r>
        <w:rPr>
          <w:rFonts w:ascii="Times New Roman" w:cs="Times New Roman" w:eastAsia="Times New Roman" w:hAnsi="Times New Roman"/>
          <w:sz w:val="13"/>
          <w:szCs w:val="13"/>
          <w:color w:val="auto"/>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3" w:name="page24"/>
    <w:bookmarkEnd w:id="23"/>
    <w:p>
      <w:pPr>
        <w:ind w:left="640" w:right="7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notice to the Company, the Holder may from time to time increase or decrease the Maximum Percentage to any other percentage as specified in such notice;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Securities Exchange Act of 1934, as amended (the “</w:t>
      </w:r>
      <w:r>
        <w:rPr>
          <w:rFonts w:ascii="Times New Roman" w:cs="Times New Roman" w:eastAsia="Times New Roman" w:hAnsi="Times New Roman"/>
          <w:sz w:val="13"/>
          <w:szCs w:val="13"/>
          <w:b w:val="1"/>
          <w:bCs w:val="1"/>
          <w:i w:val="1"/>
          <w:iCs w:val="1"/>
          <w:color w:val="auto"/>
        </w:rPr>
        <w:t>1934 Act</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659" w:firstLine="1003"/>
        <w:spacing w:after="0" w:line="265" w:lineRule="auto"/>
        <w:tabs>
          <w:tab w:leader="none" w:pos="1824"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1934 Act.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w:t>
      </w:r>
    </w:p>
    <w:p>
      <w:pPr>
        <w:spacing w:after="0" w:line="5" w:lineRule="exact"/>
        <w:rPr>
          <w:rFonts w:ascii="Times New Roman" w:cs="Times New Roman" w:eastAsia="Times New Roman" w:hAnsi="Times New Roman"/>
          <w:sz w:val="12"/>
          <w:szCs w:val="12"/>
          <w:color w:val="auto"/>
        </w:rPr>
      </w:pPr>
    </w:p>
    <w:p>
      <w:pPr>
        <w:ind w:left="640" w:right="779" w:hanging="3"/>
        <w:spacing w:after="0" w:line="263" w:lineRule="auto"/>
        <w:tabs>
          <w:tab w:leader="none" w:pos="819"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as the case may be, (y) a more recent public announcement by the Company or</w:t>
      </w:r>
    </w:p>
    <w:p>
      <w:pPr>
        <w:ind w:left="800" w:hanging="163"/>
        <w:spacing w:after="0"/>
        <w:tabs>
          <w:tab w:leader="none" w:pos="8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written notice by the Company or the Transfer Agent setting forth the number of shares of Common Stock outstanding (the “</w:t>
      </w:r>
      <w:r>
        <w:rPr>
          <w:rFonts w:ascii="Times New Roman" w:cs="Times New Roman" w:eastAsia="Times New Roman" w:hAnsi="Times New Roman"/>
          <w:sz w:val="13"/>
          <w:szCs w:val="13"/>
          <w:b w:val="1"/>
          <w:bCs w:val="1"/>
          <w:i w:val="1"/>
          <w:iCs w:val="1"/>
          <w:color w:val="auto"/>
        </w:rPr>
        <w:t>Reported</w:t>
      </w:r>
    </w:p>
    <w:p>
      <w:pPr>
        <w:spacing w:after="0" w:line="2" w:lineRule="exact"/>
        <w:rPr>
          <w:rFonts w:ascii="Times New Roman" w:cs="Times New Roman" w:eastAsia="Times New Roman" w:hAnsi="Times New Roman"/>
          <w:sz w:val="13"/>
          <w:szCs w:val="13"/>
          <w:color w:val="auto"/>
        </w:rPr>
      </w:pPr>
    </w:p>
    <w:p>
      <w:pPr>
        <w:ind w:left="640" w:right="67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Outstanding Share Number</w:t>
      </w:r>
      <w:r>
        <w:rPr>
          <w:rFonts w:ascii="Times New Roman" w:cs="Times New Roman" w:eastAsia="Times New Roman" w:hAnsi="Times New Roman"/>
          <w:sz w:val="13"/>
          <w:szCs w:val="13"/>
          <w:color w:val="auto"/>
        </w:rPr>
        <w:t>”). If the Company receives an Exercise Notice from the Holder at a time when the actual number of outstanding shares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cs="Times New Roman" w:eastAsia="Times New Roman" w:hAnsi="Times New Roman"/>
          <w:sz w:val="13"/>
          <w:szCs w:val="13"/>
          <w:b w:val="1"/>
          <w:bCs w:val="1"/>
          <w:i w:val="1"/>
          <w:iCs w:val="1"/>
          <w:color w:val="auto"/>
        </w:rPr>
        <w:t>Reduction Shares</w:t>
      </w:r>
      <w:r>
        <w:rPr>
          <w:rFonts w:ascii="Times New Roman" w:cs="Times New Roman" w:eastAsia="Times New Roman" w:hAnsi="Times New Roman"/>
          <w:sz w:val="13"/>
          <w:szCs w:val="13"/>
          <w:color w:val="auto"/>
        </w:rPr>
        <w:t>”) and (ii) as soon as reasonably practicable, and in any event, within five (5) Trading Days, the Company shall return to the Holder any Exercise Price paid by the Holder for the Reduction Shares in excess of the Exercise Price for the Pre-Funded Warrants issued to the Holder.</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written request of the Holder, the Company shall within one (1) Business Day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for Warrant Shares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4" w:name="page25"/>
    <w:bookmarkEnd w:id="24"/>
    <w:p>
      <w:pPr>
        <w:ind w:left="640" w:right="659" w:firstLine="693"/>
        <w:spacing w:after="0" w:line="268" w:lineRule="auto"/>
        <w:tabs>
          <w:tab w:leader="none" w:pos="1515" w:val="left"/>
        </w:tabs>
        <w:numPr>
          <w:ilvl w:val="2"/>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Required Reserve Amount</w:t>
      </w:r>
      <w:r>
        <w:rPr>
          <w:rFonts w:ascii="Times New Roman" w:cs="Times New Roman" w:eastAsia="Times New Roman" w:hAnsi="Times New Roman"/>
          <w:sz w:val="12"/>
          <w:szCs w:val="12"/>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2"/>
          <w:szCs w:val="12"/>
          <w:b w:val="1"/>
          <w:bCs w:val="1"/>
          <w:i w:val="1"/>
          <w:iCs w:val="1"/>
          <w:color w:val="auto"/>
        </w:rPr>
        <w:t>Required Reserve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2"/>
          <w:szCs w:val="12"/>
          <w:b w:val="1"/>
          <w:bCs w:val="1"/>
          <w:i w:val="1"/>
          <w:iCs w:val="1"/>
          <w:color w:val="auto"/>
        </w:rPr>
        <w:t>Authorized Share Allocation</w:t>
      </w:r>
      <w:r>
        <w:rPr>
          <w:rFonts w:ascii="Times New Roman" w:cs="Times New Roman" w:eastAsia="Times New Roman" w:hAnsi="Times New Roman"/>
          <w:sz w:val="12"/>
          <w:szCs w:val="12"/>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15" w:val="left"/>
        </w:tabs>
        <w:numPr>
          <w:ilvl w:val="2"/>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Insufficient Authorized Shares</w:t>
      </w:r>
      <w:r>
        <w:rPr>
          <w:rFonts w:ascii="Times New Roman" w:cs="Times New Roman" w:eastAsia="Times New Roman" w:hAnsi="Times New Roman"/>
          <w:sz w:val="12"/>
          <w:szCs w:val="12"/>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2"/>
          <w:szCs w:val="12"/>
          <w:b w:val="1"/>
          <w:bCs w:val="1"/>
          <w:i w:val="1"/>
          <w:iCs w:val="1"/>
          <w:color w:val="auto"/>
        </w:rPr>
        <w:t>Authorized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 Failure</w:t>
      </w:r>
      <w:r>
        <w:rPr>
          <w:rFonts w:ascii="Times New Roman" w:cs="Times New Roman" w:eastAsia="Times New Roman" w:hAnsi="Times New Roman"/>
          <w:sz w:val="12"/>
          <w:szCs w:val="12"/>
          <w:color w:val="auto"/>
        </w:rPr>
        <w:t>”), then the Company shall promptly take all action reasonably necessary to increase the Company’s authorized shares of Common Stock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w:t>
      </w:r>
    </w:p>
    <w:p>
      <w:pPr>
        <w:ind w:left="640" w:right="699" w:hanging="3"/>
        <w:spacing w:after="0" w:line="244" w:lineRule="auto"/>
        <w:tabs>
          <w:tab w:leader="none" w:pos="882"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075" w:val="left"/>
        </w:tabs>
        <w:numPr>
          <w:ilvl w:val="1"/>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ADJUSTMENT OF EXERCISE PRICE AND NUMBER OF WARRANT SHARES OR PRE-FUNDED WARRANTS</w:t>
      </w:r>
      <w:r>
        <w:rPr>
          <w:rFonts w:ascii="Times New Roman" w:cs="Times New Roman" w:eastAsia="Times New Roman" w:hAnsi="Times New Roman"/>
          <w:sz w:val="13"/>
          <w:szCs w:val="13"/>
          <w:color w:val="auto"/>
        </w:rPr>
        <w:t>. The Exercise Price and the number of Warrant Shares or Pre-Funded Warrants shall be adjusted from time to time as follows:</w:t>
      </w:r>
    </w:p>
    <w:p>
      <w:pPr>
        <w:spacing w:after="0" w:line="122" w:lineRule="exact"/>
        <w:rPr>
          <w:rFonts w:ascii="Times New Roman" w:cs="Times New Roman" w:eastAsia="Times New Roman" w:hAnsi="Times New Roman"/>
          <w:sz w:val="13"/>
          <w:szCs w:val="13"/>
          <w:b w:val="1"/>
          <w:bCs w:val="1"/>
          <w:color w:val="auto"/>
        </w:rPr>
      </w:pPr>
    </w:p>
    <w:p>
      <w:pPr>
        <w:ind w:left="1500" w:hanging="167"/>
        <w:spacing w:after="0"/>
        <w:tabs>
          <w:tab w:leader="none" w:pos="1500" w:val="left"/>
        </w:tabs>
        <w:numPr>
          <w:ilvl w:val="2"/>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15" w:val="left"/>
        </w:tabs>
        <w:numPr>
          <w:ilvl w:val="2"/>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 Upon Subdivision or Combination of Common Stock</w:t>
      </w:r>
      <w:r>
        <w:rPr>
          <w:rFonts w:ascii="Times New Roman" w:cs="Times New Roman" w:eastAsia="Times New Roman" w:hAnsi="Times New Roman"/>
          <w:sz w:val="13"/>
          <w:szCs w:val="13"/>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508" w:val="left"/>
        </w:tabs>
        <w:numPr>
          <w:ilvl w:val="2"/>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Events</w:t>
      </w:r>
      <w:r>
        <w:rPr>
          <w:rFonts w:ascii="Times New Roman" w:cs="Times New Roman" w:eastAsia="Times New Roman" w:hAnsi="Times New Roman"/>
          <w:sz w:val="13"/>
          <w:szCs w:val="13"/>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such adjustment pursuant to this Section 2(c) will increase the Exercise Price or decrease the number of Warrant Shares or Pre-Funded Warrants as otherwise determined pursuant to this Section 2.</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5" w:name="page26"/>
    <w:bookmarkEnd w:id="25"/>
    <w:p>
      <w:pPr>
        <w:ind w:left="640" w:right="679" w:firstLine="307"/>
        <w:spacing w:after="0" w:line="245" w:lineRule="auto"/>
        <w:tabs>
          <w:tab w:leader="none" w:pos="1075"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RIGHTS UPON DISTRIBUTION OF ASSETS</w:t>
      </w:r>
      <w:r>
        <w:rPr>
          <w:rFonts w:ascii="Times New Roman" w:cs="Times New Roman" w:eastAsia="Times New Roman" w:hAnsi="Times New Roman"/>
          <w:sz w:val="13"/>
          <w:szCs w:val="13"/>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3"/>
          <w:szCs w:val="13"/>
          <w:b w:val="1"/>
          <w:bCs w:val="1"/>
          <w:i w:val="1"/>
          <w:iCs w:val="1"/>
          <w:color w:val="auto"/>
        </w:rPr>
        <w:t>Distribution</w:t>
      </w:r>
      <w:r>
        <w:rPr>
          <w:rFonts w:ascii="Times New Roman" w:cs="Times New Roman" w:eastAsia="Times New Roman" w:hAnsi="Times New Roman"/>
          <w:sz w:val="13"/>
          <w:szCs w:val="13"/>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36" w:lineRule="exact"/>
        <w:rPr>
          <w:rFonts w:ascii="Times New Roman" w:cs="Times New Roman" w:eastAsia="Times New Roman" w:hAnsi="Times New Roman"/>
          <w:sz w:val="13"/>
          <w:szCs w:val="13"/>
          <w:b w:val="1"/>
          <w:bCs w:val="1"/>
          <w:color w:val="auto"/>
        </w:rPr>
      </w:pPr>
    </w:p>
    <w:p>
      <w:pPr>
        <w:ind w:left="1080" w:hanging="133"/>
        <w:spacing w:after="0"/>
        <w:tabs>
          <w:tab w:leader="none" w:pos="108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PURCHASE RIGHTS; FUNDAMENTAL TRANSACTIONS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640" w:right="659" w:firstLine="693"/>
        <w:spacing w:after="0" w:line="245" w:lineRule="auto"/>
        <w:tabs>
          <w:tab w:leader="none" w:pos="1508"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Rights</w:t>
      </w:r>
      <w:r>
        <w:rPr>
          <w:rFonts w:ascii="Times New Roman" w:cs="Times New Roman" w:eastAsia="Times New Roman" w:hAnsi="Times New Roman"/>
          <w:sz w:val="13"/>
          <w:szCs w:val="13"/>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3"/>
          <w:szCs w:val="13"/>
          <w:b w:val="1"/>
          <w:bCs w:val="1"/>
          <w:i w:val="1"/>
          <w:iCs w:val="1"/>
          <w:color w:val="auto"/>
        </w:rPr>
        <w:t>Purchase Rights</w:t>
      </w:r>
      <w:r>
        <w:rPr>
          <w:rFonts w:ascii="Times New Roman" w:cs="Times New Roman" w:eastAsia="Times New Roman" w:hAnsi="Times New Roman"/>
          <w:sz w:val="13"/>
          <w:szCs w:val="13"/>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15"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Fundamental Transaction</w:t>
      </w:r>
      <w:r>
        <w:rPr>
          <w:rFonts w:ascii="Times New Roman" w:cs="Times New Roman" w:eastAsia="Times New Roman" w:hAnsi="Times New Roman"/>
          <w:sz w:val="13"/>
          <w:szCs w:val="13"/>
          <w:color w:val="auto"/>
        </w:rPr>
        <w:t>. The Company shall not enter into or be party to a Fundamental Transaction unless the Successor Entity assumes in writing all of the obligations of the Company under the Transaction Documents, including this Warrant in accordance with the provisions of this Section 4(b), including, if applicable,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6" w:name="page27"/>
    <w:bookmarkEnd w:id="26"/>
    <w:p>
      <w:pPr>
        <w:ind w:left="640" w:right="67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3"/>
          <w:szCs w:val="13"/>
          <w:b w:val="1"/>
          <w:bCs w:val="1"/>
          <w:i w:val="1"/>
          <w:iCs w:val="1"/>
          <w:color w:val="auto"/>
        </w:rPr>
        <w:t>Corporate Event</w:t>
      </w:r>
      <w:r>
        <w:rPr>
          <w:rFonts w:ascii="Times New Roman" w:cs="Times New Roman" w:eastAsia="Times New Roman" w:hAnsi="Times New Roman"/>
          <w:sz w:val="13"/>
          <w:szCs w:val="13"/>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w:t>
      </w:r>
    </w:p>
    <w:p>
      <w:pPr>
        <w:spacing w:after="0" w:line="145" w:lineRule="exact"/>
        <w:rPr>
          <w:sz w:val="20"/>
          <w:szCs w:val="20"/>
          <w:color w:val="auto"/>
        </w:rPr>
      </w:pPr>
    </w:p>
    <w:p>
      <w:pPr>
        <w:ind w:left="640" w:right="659" w:firstLine="307"/>
        <w:spacing w:after="0" w:line="268" w:lineRule="auto"/>
        <w:tabs>
          <w:tab w:leader="none" w:pos="1075"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NONCIRCUMVENTION</w:t>
      </w:r>
      <w:r>
        <w:rPr>
          <w:rFonts w:ascii="Times New Roman" w:cs="Times New Roman" w:eastAsia="Times New Roman" w:hAnsi="Times New Roman"/>
          <w:sz w:val="12"/>
          <w:szCs w:val="12"/>
          <w:color w:val="auto"/>
        </w:rPr>
        <w:t>.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for Warrant Shares,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27" w:lineRule="exact"/>
        <w:rPr>
          <w:rFonts w:ascii="Times New Roman" w:cs="Times New Roman" w:eastAsia="Times New Roman" w:hAnsi="Times New Roman"/>
          <w:sz w:val="12"/>
          <w:szCs w:val="12"/>
          <w:b w:val="1"/>
          <w:bCs w:val="1"/>
          <w:color w:val="auto"/>
        </w:rPr>
      </w:pPr>
    </w:p>
    <w:p>
      <w:pPr>
        <w:ind w:left="640" w:right="739" w:firstLine="307"/>
        <w:spacing w:after="0" w:line="267" w:lineRule="auto"/>
        <w:tabs>
          <w:tab w:leader="none" w:pos="1075"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WARRANT HOLDER NOT DEEMED A STOCKHOLDER</w:t>
      </w:r>
      <w:r>
        <w:rPr>
          <w:rFonts w:ascii="Times New Roman" w:cs="Times New Roman" w:eastAsia="Times New Roman" w:hAnsi="Times New Roman"/>
          <w:sz w:val="12"/>
          <w:szCs w:val="12"/>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such notices shall be deemed delivered if such notice is available on EDGAR. Without limiting any rights of a Holder to receive cash payments pursuant to Section 1(d) herein, in no event shall the Company be required to net cash settle an exercise of this Warrant.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7" w:name="page28"/>
    <w:bookmarkEnd w:id="27"/>
    <w:p>
      <w:pPr>
        <w:ind w:left="1080" w:hanging="133"/>
        <w:spacing w:after="0"/>
        <w:tabs>
          <w:tab w:leader="none" w:pos="108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REISSUANCE OF WARRANTS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640" w:right="799" w:firstLine="693"/>
        <w:spacing w:after="0" w:line="275" w:lineRule="auto"/>
        <w:tabs>
          <w:tab w:leader="none" w:pos="150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w:t>
      </w:r>
    </w:p>
    <w:p>
      <w:pPr>
        <w:spacing w:after="0" w:line="119" w:lineRule="exact"/>
        <w:rPr>
          <w:rFonts w:ascii="Times New Roman" w:cs="Times New Roman" w:eastAsia="Times New Roman" w:hAnsi="Times New Roman"/>
          <w:sz w:val="12"/>
          <w:szCs w:val="12"/>
          <w:color w:val="auto"/>
        </w:rPr>
      </w:pPr>
    </w:p>
    <w:p>
      <w:pPr>
        <w:ind w:left="640" w:right="699" w:firstLine="693"/>
        <w:spacing w:after="0" w:line="249" w:lineRule="auto"/>
        <w:tabs>
          <w:tab w:leader="none" w:pos="1515"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Lost, Stolen or Mutilated Warrant</w:t>
      </w:r>
      <w:r>
        <w:rPr>
          <w:rFonts w:ascii="Times New Roman" w:cs="Times New Roman" w:eastAsia="Times New Roman" w:hAnsi="Times New Roman"/>
          <w:sz w:val="13"/>
          <w:szCs w:val="13"/>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0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Exchangeable for Multiple Warrants</w:t>
      </w:r>
      <w:r>
        <w:rPr>
          <w:rFonts w:ascii="Times New Roman" w:cs="Times New Roman" w:eastAsia="Times New Roman" w:hAnsi="Times New Roman"/>
          <w:sz w:val="13"/>
          <w:szCs w:val="13"/>
          <w:color w:val="auto"/>
        </w:rPr>
        <w:t>.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w:t>
      </w:r>
    </w:p>
    <w:p>
      <w:pPr>
        <w:spacing w:after="0" w:line="132" w:lineRule="exact"/>
        <w:rPr>
          <w:rFonts w:ascii="Times New Roman" w:cs="Times New Roman" w:eastAsia="Times New Roman" w:hAnsi="Times New Roman"/>
          <w:sz w:val="13"/>
          <w:szCs w:val="13"/>
          <w:color w:val="auto"/>
        </w:rPr>
      </w:pPr>
    </w:p>
    <w:p>
      <w:pPr>
        <w:ind w:left="640" w:right="719" w:firstLine="693"/>
        <w:spacing w:after="0" w:line="247" w:lineRule="auto"/>
        <w:tabs>
          <w:tab w:leader="none" w:pos="1515"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of New Warrants</w:t>
      </w:r>
      <w:r>
        <w:rPr>
          <w:rFonts w:ascii="Times New Roman" w:cs="Times New Roman" w:eastAsia="Times New Roman" w:hAnsi="Times New Roman"/>
          <w:sz w:val="13"/>
          <w:szCs w:val="13"/>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 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 (iii) shall have an issuance date, as indicated on the face of such new Warrant which is the same as the Issuance Date, and (iv) shall have the same rights and conditions as this Warrant.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075"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w:t>
      </w:r>
    </w:p>
    <w:p>
      <w:pPr>
        <w:spacing w:after="0" w:line="156" w:lineRule="exact"/>
        <w:rPr>
          <w:rFonts w:ascii="Times New Roman" w:cs="Times New Roman" w:eastAsia="Times New Roman" w:hAnsi="Times New Roman"/>
          <w:sz w:val="13"/>
          <w:szCs w:val="13"/>
          <w:b w:val="1"/>
          <w:bCs w:val="1"/>
          <w:color w:val="auto"/>
        </w:rPr>
      </w:pPr>
    </w:p>
    <w:p>
      <w:pPr>
        <w:ind w:left="1640" w:hanging="311"/>
        <w:spacing w:after="0"/>
        <w:tabs>
          <w:tab w:leader="none" w:pos="16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to:</w:t>
      </w:r>
    </w:p>
    <w:p>
      <w:pPr>
        <w:spacing w:after="0" w:line="77"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CalciMedica, Inc.</w:t>
      </w:r>
    </w:p>
    <w:p>
      <w:pPr>
        <w:spacing w:after="0" w:line="15" w:lineRule="exact"/>
        <w:rPr>
          <w:rFonts w:ascii="Times New Roman" w:cs="Times New Roman" w:eastAsia="Times New Roman" w:hAnsi="Times New Roman"/>
          <w:sz w:val="13"/>
          <w:szCs w:val="13"/>
          <w:color w:val="auto"/>
        </w:rPr>
      </w:pPr>
    </w:p>
    <w:p>
      <w:pPr>
        <w:ind w:left="1640" w:right="597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505 Coast Boulevard South Suite 307</w:t>
      </w: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 Jolla, CA 92037</w:t>
      </w:r>
    </w:p>
    <w:p>
      <w:pPr>
        <w:spacing w:after="0" w:line="2" w:lineRule="exact"/>
        <w:rPr>
          <w:rFonts w:ascii="Times New Roman" w:cs="Times New Roman" w:eastAsia="Times New Roman" w:hAnsi="Times New Roman"/>
          <w:sz w:val="13"/>
          <w:szCs w:val="13"/>
          <w:color w:val="auto"/>
        </w:rPr>
      </w:pPr>
    </w:p>
    <w:p>
      <w:pPr>
        <w:ind w:left="1640" w:right="561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Attn: John Dunn, General Counsel Email:</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8" w:name="page29"/>
    <w:bookmarkEnd w:id="28"/>
    <w:p>
      <w:pPr>
        <w:ind w:left="640" w:right="799" w:firstLine="1003"/>
        <w:spacing w:after="0" w:line="267" w:lineRule="auto"/>
        <w:tabs>
          <w:tab w:leader="none" w:pos="183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the Holder, at such address or other contact information delivered by the Holder to the Company or as is on the books and records of the Company.</w:t>
      </w:r>
    </w:p>
    <w:p>
      <w:pPr>
        <w:spacing w:after="0" w:line="122"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2"/>
          <w:szCs w:val="12"/>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w:t>
      </w:r>
    </w:p>
    <w:p>
      <w:pPr>
        <w:spacing w:after="0" w:line="1" w:lineRule="exact"/>
        <w:rPr>
          <w:sz w:val="20"/>
          <w:szCs w:val="20"/>
          <w:color w:val="auto"/>
        </w:rPr>
      </w:pPr>
    </w:p>
    <w:p>
      <w:pPr>
        <w:ind w:left="640" w:right="699" w:hanging="3"/>
        <w:spacing w:after="0" w:line="244" w:lineRule="auto"/>
        <w:tabs>
          <w:tab w:leader="none" w:pos="79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86" w:lineRule="auto"/>
        <w:tabs>
          <w:tab w:leader="none" w:pos="1075" w:val="left"/>
        </w:tabs>
        <w:numPr>
          <w:ilvl w:val="1"/>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AMENDMENT AND WAIVER</w:t>
      </w:r>
      <w:r>
        <w:rPr>
          <w:rFonts w:ascii="Times New Roman" w:cs="Times New Roman" w:eastAsia="Times New Roman" w:hAnsi="Times New Roman"/>
          <w:sz w:val="12"/>
          <w:szCs w:val="12"/>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provided, however, that Section 1(f) may not be amended or waived except as specifically provided therein.</w:t>
      </w:r>
    </w:p>
    <w:p>
      <w:pPr>
        <w:spacing w:after="0" w:line="113" w:lineRule="exact"/>
        <w:rPr>
          <w:rFonts w:ascii="Times New Roman" w:cs="Times New Roman" w:eastAsia="Times New Roman" w:hAnsi="Times New Roman"/>
          <w:sz w:val="12"/>
          <w:szCs w:val="12"/>
          <w:b w:val="1"/>
          <w:bCs w:val="1"/>
          <w:color w:val="auto"/>
        </w:rPr>
      </w:pPr>
    </w:p>
    <w:p>
      <w:pPr>
        <w:ind w:left="640" w:right="659" w:firstLine="307"/>
        <w:spacing w:after="0" w:line="265" w:lineRule="auto"/>
        <w:tabs>
          <w:tab w:leader="none" w:pos="1139"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JURY TRIAL</w:t>
      </w:r>
      <w:r>
        <w:rPr>
          <w:rFonts w:ascii="Times New Roman" w:cs="Times New Roman" w:eastAsia="Times New Roman" w:hAnsi="Times New Roman"/>
          <w:sz w:val="12"/>
          <w:szCs w:val="12"/>
          <w:color w:val="auto"/>
        </w:rPr>
        <w:t>.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 w:lineRule="exact"/>
        <w:rPr>
          <w:rFonts w:ascii="Times New Roman" w:cs="Times New Roman" w:eastAsia="Times New Roman" w:hAnsi="Times New Roman"/>
          <w:sz w:val="12"/>
          <w:szCs w:val="12"/>
          <w:color w:val="auto"/>
        </w:rPr>
      </w:pPr>
    </w:p>
    <w:p>
      <w:pPr>
        <w:ind w:left="640" w:right="65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b w:val="1"/>
          <w:bCs w:val="1"/>
          <w:color w:val="auto"/>
        </w:rPr>
        <w:t>THE COMPANY HEREBY IRREVOCABLY WAIVES ANY RIGHT IT MAY HAVE, AND AGREES NOT TO REQUEST, A JURY TRIAL FOR THE ADJUDICATION OF ANY DISPUTE HEREUNDER OR IN CONNECTION WITH OR ARISING OUT OF THIS WARRANT OR ANY TRANSACTION CONTEMPLATED HEREBY.</w:t>
      </w:r>
    </w:p>
    <w:p>
      <w:pPr>
        <w:spacing w:after="0" w:line="135" w:lineRule="exact"/>
        <w:rPr>
          <w:rFonts w:ascii="Times New Roman" w:cs="Times New Roman" w:eastAsia="Times New Roman" w:hAnsi="Times New Roman"/>
          <w:sz w:val="12"/>
          <w:szCs w:val="12"/>
          <w:color w:val="auto"/>
        </w:rPr>
      </w:pPr>
    </w:p>
    <w:p>
      <w:pPr>
        <w:ind w:left="640" w:right="839" w:firstLine="307"/>
        <w:spacing w:after="0" w:line="274" w:lineRule="auto"/>
        <w:tabs>
          <w:tab w:leader="none" w:pos="1132" w:val="left"/>
        </w:tabs>
        <w:numPr>
          <w:ilvl w:val="1"/>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DISPUTE RESOLUTION</w:t>
      </w:r>
      <w:r>
        <w:rPr>
          <w:rFonts w:ascii="Times New Roman" w:cs="Times New Roman" w:eastAsia="Times New Roman" w:hAnsi="Times New Roman"/>
          <w:sz w:val="12"/>
          <w:szCs w:val="12"/>
          <w:color w:val="auto"/>
        </w:rPr>
        <w:t>. In the case of a dispute as to the determination of the Exercise Price or the arithmetic calculation of the Warrant Shares or Pre-Funded Warrants, the Company shall submit the disputed determinations or arithmetic calculations via electronic mail within two</w:t>
      </w:r>
    </w:p>
    <w:p>
      <w:pPr>
        <w:spacing w:after="0" w:line="1" w:lineRule="exact"/>
        <w:rPr>
          <w:rFonts w:ascii="Times New Roman" w:cs="Times New Roman" w:eastAsia="Times New Roman" w:hAnsi="Times New Roman"/>
          <w:sz w:val="12"/>
          <w:szCs w:val="12"/>
          <w:b w:val="1"/>
          <w:bCs w:val="1"/>
          <w:color w:val="auto"/>
        </w:rPr>
      </w:pPr>
    </w:p>
    <w:p>
      <w:pPr>
        <w:ind w:left="640" w:right="819"/>
        <w:spacing w:after="0" w:line="26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(2) 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w:t>
      </w:r>
    </w:p>
    <w:p>
      <w:pPr>
        <w:ind w:left="6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(3) Business Days of such disputed determination or arithmetic calculation being submitted to the Holder, then the Company shall, within two</w:t>
      </w:r>
    </w:p>
    <w:p>
      <w:pPr>
        <w:spacing w:after="0" w:line="2" w:lineRule="exact"/>
        <w:rPr>
          <w:rFonts w:ascii="Times New Roman" w:cs="Times New Roman" w:eastAsia="Times New Roman" w:hAnsi="Times New Roman"/>
          <w:sz w:val="12"/>
          <w:szCs w:val="12"/>
          <w:b w:val="1"/>
          <w:bCs w:val="1"/>
          <w:color w:val="auto"/>
        </w:rPr>
      </w:pPr>
    </w:p>
    <w:p>
      <w:pPr>
        <w:ind w:left="640" w:right="719"/>
        <w:spacing w:after="0" w:line="24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(2) 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9" w:name="page30"/>
    <w:bookmarkEnd w:id="29"/>
    <w:p>
      <w:pPr>
        <w:ind w:left="640" w:right="679" w:firstLine="307"/>
        <w:spacing w:after="0" w:line="247" w:lineRule="auto"/>
        <w:tabs>
          <w:tab w:leader="none" w:pos="1139"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REMEDIES, OTHER OBLIGATIONS, BREACHES AND INJUNCTIVE RELIEF. The remedies</w:t>
      </w:r>
      <w:r>
        <w:rPr>
          <w:rFonts w:ascii="Times New Roman" w:cs="Times New Roman" w:eastAsia="Times New Roman" w:hAnsi="Times New Roman"/>
          <w:sz w:val="13"/>
          <w:szCs w:val="13"/>
          <w:color w:val="auto"/>
        </w:rPr>
        <w:t xml:space="preserve">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36" w:lineRule="exact"/>
        <w:rPr>
          <w:rFonts w:ascii="Times New Roman" w:cs="Times New Roman" w:eastAsia="Times New Roman" w:hAnsi="Times New Roman"/>
          <w:sz w:val="13"/>
          <w:szCs w:val="13"/>
          <w:b w:val="1"/>
          <w:bCs w:val="1"/>
          <w:color w:val="auto"/>
        </w:rPr>
      </w:pPr>
    </w:p>
    <w:p>
      <w:pPr>
        <w:ind w:left="640" w:right="919" w:firstLine="307"/>
        <w:spacing w:after="0" w:line="267" w:lineRule="auto"/>
        <w:tabs>
          <w:tab w:leader="none" w:pos="1139"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This Warrant and the Warrant Shares or Pre-Funded Warrants may be offered for sale, sold, transferred, pledged or assigned without the consent of the Company.</w:t>
      </w:r>
    </w:p>
    <w:p>
      <w:pPr>
        <w:spacing w:after="0" w:line="122" w:lineRule="exact"/>
        <w:rPr>
          <w:rFonts w:ascii="Times New Roman" w:cs="Times New Roman" w:eastAsia="Times New Roman" w:hAnsi="Times New Roman"/>
          <w:sz w:val="13"/>
          <w:szCs w:val="13"/>
          <w:b w:val="1"/>
          <w:bCs w:val="1"/>
          <w:color w:val="auto"/>
        </w:rPr>
      </w:pPr>
    </w:p>
    <w:p>
      <w:pPr>
        <w:ind w:left="640" w:right="679" w:firstLine="307"/>
        <w:spacing w:after="0" w:line="268" w:lineRule="auto"/>
        <w:tabs>
          <w:tab w:leader="none" w:pos="1139"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SEVERABILITY; CONSTRUCTION; HEADINGS</w:t>
      </w:r>
      <w:r>
        <w:rPr>
          <w:rFonts w:ascii="Times New Roman" w:cs="Times New Roman" w:eastAsia="Times New Roman" w:hAnsi="Times New Roman"/>
          <w:sz w:val="12"/>
          <w:szCs w:val="12"/>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27" w:lineRule="exact"/>
        <w:rPr>
          <w:rFonts w:ascii="Times New Roman" w:cs="Times New Roman" w:eastAsia="Times New Roman" w:hAnsi="Times New Roman"/>
          <w:sz w:val="12"/>
          <w:szCs w:val="12"/>
          <w:b w:val="1"/>
          <w:bCs w:val="1"/>
          <w:color w:val="auto"/>
        </w:rPr>
      </w:pPr>
    </w:p>
    <w:p>
      <w:pPr>
        <w:ind w:left="640" w:right="679" w:firstLine="307"/>
        <w:spacing w:after="0" w:line="247" w:lineRule="auto"/>
        <w:tabs>
          <w:tab w:leader="none" w:pos="1139"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DISCLOSURE</w:t>
      </w:r>
      <w:r>
        <w:rPr>
          <w:rFonts w:ascii="Times New Roman" w:cs="Times New Roman" w:eastAsia="Times New Roman" w:hAnsi="Times New Roman"/>
          <w:sz w:val="13"/>
          <w:szCs w:val="13"/>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36" w:lineRule="exact"/>
        <w:rPr>
          <w:rFonts w:ascii="Times New Roman" w:cs="Times New Roman" w:eastAsia="Times New Roman" w:hAnsi="Times New Roman"/>
          <w:sz w:val="13"/>
          <w:szCs w:val="13"/>
          <w:b w:val="1"/>
          <w:bCs w:val="1"/>
          <w:color w:val="auto"/>
        </w:rPr>
      </w:pPr>
    </w:p>
    <w:p>
      <w:pPr>
        <w:ind w:left="1140" w:hanging="193"/>
        <w:spacing w:after="0"/>
        <w:tabs>
          <w:tab w:leader="none" w:pos="114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purposes of this Warrant, the following terms shall have the following meanings:</w:t>
      </w:r>
    </w:p>
    <w:p>
      <w:pPr>
        <w:spacing w:after="0" w:line="151" w:lineRule="exact"/>
        <w:rPr>
          <w:rFonts w:ascii="Times New Roman" w:cs="Times New Roman" w:eastAsia="Times New Roman" w:hAnsi="Times New Roman"/>
          <w:sz w:val="13"/>
          <w:szCs w:val="13"/>
          <w:b w:val="1"/>
          <w:bCs w:val="1"/>
          <w:color w:val="auto"/>
        </w:rPr>
      </w:pPr>
    </w:p>
    <w:p>
      <w:pPr>
        <w:ind w:left="640" w:right="799" w:firstLine="693"/>
        <w:spacing w:after="0" w:line="248" w:lineRule="auto"/>
        <w:tabs>
          <w:tab w:leader="none" w:pos="1508"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50" w:lineRule="auto"/>
        <w:tabs>
          <w:tab w:leader="none" w:pos="1515"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Attribution Parties</w:t>
      </w:r>
      <w:r>
        <w:rPr>
          <w:rFonts w:ascii="Times New Roman" w:cs="Times New Roman" w:eastAsia="Times New Roman" w:hAnsi="Times New Roman"/>
          <w:sz w:val="13"/>
          <w:szCs w:val="13"/>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30" w:name="page31"/>
    <w:bookmarkEnd w:id="30"/>
    <w:p>
      <w:pPr>
        <w:ind w:left="640" w:right="879" w:firstLine="693"/>
        <w:spacing w:after="0" w:line="270" w:lineRule="auto"/>
        <w:tabs>
          <w:tab w:leader="none" w:pos="1508"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Saturday, Sunday or other day on which commercial banks in The City of New York are authorized or required by law to remain closed.</w:t>
      </w:r>
    </w:p>
    <w:p>
      <w:pPr>
        <w:spacing w:after="0" w:line="118" w:lineRule="exact"/>
        <w:rPr>
          <w:rFonts w:ascii="Times New Roman" w:cs="Times New Roman" w:eastAsia="Times New Roman" w:hAnsi="Times New Roman"/>
          <w:sz w:val="13"/>
          <w:szCs w:val="13"/>
          <w:color w:val="auto"/>
        </w:rPr>
      </w:pPr>
    </w:p>
    <w:p>
      <w:pPr>
        <w:jc w:val="both"/>
        <w:ind w:left="640" w:right="739" w:firstLine="693"/>
        <w:spacing w:after="0" w:line="268" w:lineRule="auto"/>
        <w:tabs>
          <w:tab w:leader="none" w:pos="1515"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w:t>
      </w:r>
      <w:r>
        <w:rPr>
          <w:rFonts w:ascii="Times New Roman" w:cs="Times New Roman" w:eastAsia="Times New Roman" w:hAnsi="Times New Roman"/>
          <w:sz w:val="12"/>
          <w:szCs w:val="12"/>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w:t>
      </w:r>
    </w:p>
    <w:p>
      <w:pPr>
        <w:spacing w:after="0" w:line="2" w:lineRule="exact"/>
        <w:rPr>
          <w:rFonts w:ascii="Times New Roman" w:cs="Times New Roman" w:eastAsia="Times New Roman" w:hAnsi="Times New Roman"/>
          <w:sz w:val="12"/>
          <w:szCs w:val="12"/>
          <w:color w:val="auto"/>
        </w:rPr>
      </w:pPr>
    </w:p>
    <w:p>
      <w:pPr>
        <w:ind w:left="640" w:right="719" w:hanging="3"/>
        <w:spacing w:after="0" w:line="263" w:lineRule="auto"/>
        <w:tabs>
          <w:tab w:leader="none" w:pos="82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w:t>
      </w:r>
    </w:p>
    <w:p>
      <w:pPr>
        <w:spacing w:after="0" w:line="1" w:lineRule="exact"/>
        <w:rPr>
          <w:rFonts w:ascii="Times New Roman" w:cs="Times New Roman" w:eastAsia="Times New Roman" w:hAnsi="Times New Roman"/>
          <w:sz w:val="12"/>
          <w:szCs w:val="12"/>
          <w:color w:val="auto"/>
        </w:rPr>
      </w:pPr>
    </w:p>
    <w:p>
      <w:pPr>
        <w:ind w:left="640" w:right="719" w:hanging="3"/>
        <w:spacing w:after="0" w:line="275" w:lineRule="auto"/>
        <w:tabs>
          <w:tab w:leader="none" w:pos="819"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17" w:lineRule="exact"/>
        <w:rPr>
          <w:rFonts w:ascii="Times New Roman" w:cs="Times New Roman" w:eastAsia="Times New Roman" w:hAnsi="Times New Roman"/>
          <w:sz w:val="12"/>
          <w:szCs w:val="12"/>
          <w:color w:val="auto"/>
        </w:rPr>
      </w:pPr>
    </w:p>
    <w:p>
      <w:pPr>
        <w:ind w:left="640" w:right="739" w:firstLine="693"/>
        <w:spacing w:after="0" w:line="245" w:lineRule="auto"/>
        <w:tabs>
          <w:tab w:leader="none" w:pos="1508"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Sale Price</w:t>
      </w:r>
      <w:r>
        <w:rPr>
          <w:rFonts w:ascii="Times New Roman" w:cs="Times New Roman" w:eastAsia="Times New Roman" w:hAnsi="Times New Roman"/>
          <w:sz w:val="13"/>
          <w:szCs w:val="13"/>
          <w:color w:val="auto"/>
        </w:rPr>
        <w:t>”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39" w:lineRule="exact"/>
        <w:rPr>
          <w:rFonts w:ascii="Times New Roman" w:cs="Times New Roman" w:eastAsia="Times New Roman" w:hAnsi="Times New Roman"/>
          <w:sz w:val="13"/>
          <w:szCs w:val="13"/>
          <w:color w:val="auto"/>
        </w:rPr>
      </w:pPr>
    </w:p>
    <w:p>
      <w:pPr>
        <w:ind w:left="640" w:right="899" w:firstLine="693"/>
        <w:spacing w:after="0" w:line="270" w:lineRule="auto"/>
        <w:tabs>
          <w:tab w:leader="none" w:pos="1494"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means (i) the Company’s Common Stock, par value $0.0001 per share, and (ii) any capital stock into which such Common Stock shall have been changed or any capital stock resulting from a reclassification of such Common Stock.</w:t>
      </w:r>
    </w:p>
    <w:p>
      <w:pPr>
        <w:spacing w:after="0" w:line="118" w:lineRule="exact"/>
        <w:rPr>
          <w:rFonts w:ascii="Times New Roman" w:cs="Times New Roman" w:eastAsia="Times New Roman" w:hAnsi="Times New Roman"/>
          <w:sz w:val="13"/>
          <w:szCs w:val="13"/>
          <w:color w:val="auto"/>
        </w:rPr>
      </w:pPr>
    </w:p>
    <w:p>
      <w:pPr>
        <w:ind w:left="640" w:right="699" w:firstLine="693"/>
        <w:spacing w:after="0" w:line="257" w:lineRule="auto"/>
        <w:tabs>
          <w:tab w:leader="none" w:pos="1515"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Stock Equivalents</w:t>
      </w:r>
      <w:r>
        <w:rPr>
          <w:rFonts w:ascii="Times New Roman" w:cs="Times New Roman" w:eastAsia="Times New Roman" w:hAnsi="Times New Roman"/>
          <w:sz w:val="13"/>
          <w:szCs w:val="13"/>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26" w:lineRule="exact"/>
        <w:rPr>
          <w:rFonts w:ascii="Times New Roman" w:cs="Times New Roman" w:eastAsia="Times New Roman" w:hAnsi="Times New Roman"/>
          <w:sz w:val="13"/>
          <w:szCs w:val="13"/>
          <w:color w:val="auto"/>
        </w:rPr>
      </w:pPr>
    </w:p>
    <w:p>
      <w:pPr>
        <w:ind w:left="640" w:right="919" w:firstLine="693"/>
        <w:spacing w:after="0" w:line="270" w:lineRule="auto"/>
        <w:tabs>
          <w:tab w:leader="none" w:pos="1515"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Convertible Securities</w:t>
      </w:r>
      <w:r>
        <w:rPr>
          <w:rFonts w:ascii="Times New Roman" w:cs="Times New Roman" w:eastAsia="Times New Roman" w:hAnsi="Times New Roman"/>
          <w:sz w:val="13"/>
          <w:szCs w:val="13"/>
          <w:color w:val="auto"/>
        </w:rPr>
        <w:t>” means any stock or securities (other than Options) directly or indirectly convertible into or exercisable or exchangeable for shares of Common Stock.</w:t>
      </w:r>
    </w:p>
    <w:p>
      <w:pPr>
        <w:spacing w:after="0" w:line="118" w:lineRule="exact"/>
        <w:rPr>
          <w:rFonts w:ascii="Times New Roman" w:cs="Times New Roman" w:eastAsia="Times New Roman" w:hAnsi="Times New Roman"/>
          <w:sz w:val="13"/>
          <w:szCs w:val="13"/>
          <w:color w:val="auto"/>
        </w:rPr>
      </w:pPr>
    </w:p>
    <w:p>
      <w:pPr>
        <w:ind w:left="640" w:right="999" w:firstLine="693"/>
        <w:spacing w:after="0" w:line="270" w:lineRule="auto"/>
        <w:tabs>
          <w:tab w:leader="none" w:pos="1487"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Eligible Market</w:t>
      </w:r>
      <w:r>
        <w:rPr>
          <w:rFonts w:ascii="Times New Roman" w:cs="Times New Roman" w:eastAsia="Times New Roman" w:hAnsi="Times New Roman"/>
          <w:sz w:val="13"/>
          <w:szCs w:val="13"/>
          <w:color w:val="auto"/>
        </w:rPr>
        <w:t>” means The Nasdaq Capital Market, the NYSE American LLC, The Nasdaq Global Select Market, The Nasdaq Global Market or The New York Stock Exchange, Inc.</w:t>
      </w:r>
    </w:p>
    <w:p>
      <w:pPr>
        <w:spacing w:after="0" w:line="118" w:lineRule="exact"/>
        <w:rPr>
          <w:rFonts w:ascii="Times New Roman" w:cs="Times New Roman" w:eastAsia="Times New Roman" w:hAnsi="Times New Roman"/>
          <w:sz w:val="13"/>
          <w:szCs w:val="13"/>
          <w:color w:val="auto"/>
        </w:rPr>
      </w:pPr>
    </w:p>
    <w:p>
      <w:pPr>
        <w:jc w:val="both"/>
        <w:ind w:left="640" w:right="659" w:firstLine="693"/>
        <w:spacing w:after="0" w:line="252" w:lineRule="auto"/>
        <w:tabs>
          <w:tab w:leader="none" w:pos="1487"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means the earlier of (i) 18 months after the Closing Date (as defined in the Purchase Agreement) and (ii) the date that is thirty (30) days following the Company’s public announcement of the clearance of its Investigational New Drug Application by the U.S. Food and Drug Administration for CM5480; provided, however, that if the Expiration Date occurs prior to the Stockholder Approval Date, then the Expiration Date shall be extended until the date that is thirty (30) days following the Stockholder Approval Date.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31" w:name="page32"/>
    <w:bookmarkEnd w:id="31"/>
    <w:p>
      <w:pPr>
        <w:ind w:left="640" w:right="679" w:firstLine="693"/>
        <w:spacing w:after="0" w:line="266" w:lineRule="auto"/>
        <w:tabs>
          <w:tab w:leader="none" w:pos="1515"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i w:val="1"/>
          <w:iCs w:val="1"/>
          <w:color w:val="auto"/>
        </w:rPr>
        <w:t>Fundamental Transaction</w:t>
      </w:r>
      <w:r>
        <w:rPr>
          <w:rFonts w:ascii="Times New Roman" w:cs="Times New Roman" w:eastAsia="Times New Roman" w:hAnsi="Times New Roman"/>
          <w:sz w:val="12"/>
          <w:szCs w:val="12"/>
          <w:color w:val="auto"/>
        </w:rPr>
        <w:t>” means (A) that the Company shall, directly or indirectly, including through subsidiaries, Affiliates or otherwise, in one or more related transactions, (i) consolidate or merge with or into another Subject Entity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or (ii) sell, assign, transfer, convey or otherwise dispose of all or substantially all of the properties or assets of the Company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the greater of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w:t>
      </w:r>
    </w:p>
    <w:p>
      <w:pPr>
        <w:ind w:left="640" w:right="659" w:hanging="3"/>
        <w:spacing w:after="0" w:line="263" w:lineRule="auto"/>
        <w:tabs>
          <w:tab w:leader="none" w:pos="85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consummate a stock purchase agreement or other business combination (including, without limitation, a reorganization, recapitalization, spin-off or scheme of arrangement) with one or more Subject Entities whereby all such Subject Entities, individually or in the aggregate, acquire at the closing thereof, the greater of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(B) that the Company shall, directly or indirectly, including through subsidiaries, Affiliates or otherwise, in one or more related transactions, approve such transaction(s) in which any Subject Entity individually or the Subject Entities in the aggregate become the “beneficial owner” (as defined in Rule 13d-3 under the 1934 Act) at the closing thereof,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 similar transaction, of</w:t>
      </w:r>
    </w:p>
    <w:p>
      <w:pPr>
        <w:spacing w:after="0" w:line="4"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19"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greater of (I) at least 50% of the aggregate voting power represented by issued and outstanding shares of Common Stock, and (II) at least 50% of the aggregate voting power represented by issued and outstanding shares of Common Stock not held by all such Subject Entities as of the Subscription Date calculated as if any shares of Common Stock held by all such Subject Entities were not outstanding, or (y) a percentage of the aggregate voting power represented by issued and outstanding shares of Common Stock or other equity securities of the Company sufficient to allow such Subject Entities to effect a statutory short form merger or other transaction requiring all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with the purpose of circumventing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39"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Group</w:t>
      </w:r>
      <w:r>
        <w:rPr>
          <w:rFonts w:ascii="Times New Roman" w:cs="Times New Roman" w:eastAsia="Times New Roman" w:hAnsi="Times New Roman"/>
          <w:sz w:val="13"/>
          <w:szCs w:val="13"/>
          <w:color w:val="auto"/>
        </w:rPr>
        <w:t>” shall have the meaning ascribed to it in Section 13(d) of the 1934 Act, and all related rules, regulations and jurisprudence.</w:t>
      </w:r>
    </w:p>
    <w:p>
      <w:pPr>
        <w:spacing w:after="0" w:line="153"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Options</w:t>
      </w:r>
      <w:r>
        <w:rPr>
          <w:rFonts w:ascii="Times New Roman" w:cs="Times New Roman" w:eastAsia="Times New Roman" w:hAnsi="Times New Roman"/>
          <w:sz w:val="13"/>
          <w:szCs w:val="13"/>
          <w:color w:val="auto"/>
        </w:rPr>
        <w:t>” means any rights, warrants or options to subscribe for or purchase shares of Common Stock or Convertible Securities.</w:t>
      </w:r>
    </w:p>
    <w:p>
      <w:pPr>
        <w:spacing w:after="0" w:line="153" w:lineRule="exact"/>
        <w:rPr>
          <w:rFonts w:ascii="Times New Roman" w:cs="Times New Roman" w:eastAsia="Times New Roman" w:hAnsi="Times New Roman"/>
          <w:sz w:val="13"/>
          <w:szCs w:val="13"/>
          <w:color w:val="auto"/>
        </w:rPr>
      </w:pPr>
    </w:p>
    <w:p>
      <w:pPr>
        <w:ind w:left="640" w:right="899" w:firstLine="693"/>
        <w:spacing w:after="0" w:line="288" w:lineRule="auto"/>
        <w:tabs>
          <w:tab w:leader="none" w:pos="1515"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Entity</w:t>
      </w:r>
      <w:r>
        <w:rPr>
          <w:rFonts w:ascii="Times New Roman" w:cs="Times New Roman" w:eastAsia="Times New Roman" w:hAnsi="Times New Roman"/>
          <w:sz w:val="12"/>
          <w:szCs w:val="12"/>
          <w:color w:val="auto"/>
        </w:rPr>
        <w:t>” of a Person means an entity that, directly or indirectly, controls the applicable Person, including such entity whose common stock or equivalent equity security is quoted or listed on an Eligible Market, or, if there is more than one such Person or such entity, such Person or entity with the largest public market capitalization as of the date of consummation of the Fundamental Transaction or Change of Control.</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32" w:name="page33"/>
    <w:bookmarkEnd w:id="32"/>
    <w:p>
      <w:pPr>
        <w:ind w:left="640" w:right="959" w:firstLine="693"/>
        <w:spacing w:after="0" w:line="270"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a limited liability company, a partnership, a joint venture, a corporation, a trust, an unincorporated organization, any other entity and a government or any department or agency thereof.</w:t>
      </w:r>
    </w:p>
    <w:p>
      <w:pPr>
        <w:spacing w:after="0" w:line="118" w:lineRule="exact"/>
        <w:rPr>
          <w:rFonts w:ascii="Times New Roman" w:cs="Times New Roman" w:eastAsia="Times New Roman" w:hAnsi="Times New Roman"/>
          <w:sz w:val="13"/>
          <w:szCs w:val="13"/>
          <w:color w:val="auto"/>
        </w:rPr>
      </w:pPr>
    </w:p>
    <w:p>
      <w:pPr>
        <w:ind w:left="640" w:right="719" w:firstLine="693"/>
        <w:spacing w:after="0" w:line="270"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Principal Market</w:t>
      </w:r>
      <w:r>
        <w:rPr>
          <w:rFonts w:ascii="Times New Roman" w:cs="Times New Roman" w:eastAsia="Times New Roman" w:hAnsi="Times New Roman"/>
          <w:sz w:val="13"/>
          <w:szCs w:val="13"/>
          <w:color w:val="auto"/>
        </w:rPr>
        <w:t>” means the national securities exchange or other trading market on which the Common Stock is primarily listed on and quoted for trading, which, as of the Issuance Date, is The Nasdaq Capital Market.</w:t>
      </w:r>
    </w:p>
    <w:p>
      <w:pPr>
        <w:spacing w:after="0" w:line="118" w:lineRule="exact"/>
        <w:rPr>
          <w:rFonts w:ascii="Times New Roman" w:cs="Times New Roman" w:eastAsia="Times New Roman" w:hAnsi="Times New Roman"/>
          <w:sz w:val="13"/>
          <w:szCs w:val="13"/>
          <w:color w:val="auto"/>
        </w:rPr>
      </w:pPr>
    </w:p>
    <w:p>
      <w:pPr>
        <w:ind w:left="640" w:right="999" w:firstLine="693"/>
        <w:spacing w:after="0" w:line="270"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Required Holders</w:t>
      </w:r>
      <w:r>
        <w:rPr>
          <w:rFonts w:ascii="Times New Roman" w:cs="Times New Roman" w:eastAsia="Times New Roman" w:hAnsi="Times New Roman"/>
          <w:sz w:val="13"/>
          <w:szCs w:val="13"/>
          <w:color w:val="auto"/>
        </w:rPr>
        <w:t>” means the holders of this Warrant and/or the Other Warrants representing at least a majority of the shares of Common Stock underlying this Warrant and the Other Warrants then outstanding.</w:t>
      </w:r>
    </w:p>
    <w:p>
      <w:pPr>
        <w:spacing w:after="0" w:line="118" w:lineRule="exact"/>
        <w:rPr>
          <w:rFonts w:ascii="Times New Roman" w:cs="Times New Roman" w:eastAsia="Times New Roman" w:hAnsi="Times New Roman"/>
          <w:sz w:val="13"/>
          <w:szCs w:val="13"/>
          <w:color w:val="auto"/>
        </w:rPr>
      </w:pPr>
    </w:p>
    <w:p>
      <w:pPr>
        <w:jc w:val="both"/>
        <w:ind w:left="640" w:right="739" w:firstLine="693"/>
        <w:spacing w:after="0" w:line="257" w:lineRule="auto"/>
        <w:tabs>
          <w:tab w:leader="none" w:pos="149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Standard Settlement Period</w:t>
      </w:r>
      <w:r>
        <w:rPr>
          <w:rFonts w:ascii="Times New Roman" w:cs="Times New Roman" w:eastAsia="Times New Roman" w:hAnsi="Times New Roman"/>
          <w:sz w:val="13"/>
          <w:szCs w:val="13"/>
          <w:color w:val="auto"/>
        </w:rPr>
        <w:t xml:space="preserve">” means the standard settlement period, expressed in a number of Trading Days, for the Principal Market with respect to the Common Stock that is in effect on the date of delivery of an applicable Exercise Notice (as determined in accordance with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hereof).</w:t>
      </w:r>
    </w:p>
    <w:p>
      <w:pPr>
        <w:spacing w:after="0" w:line="12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Subject Entity</w:t>
      </w:r>
      <w:r>
        <w:rPr>
          <w:rFonts w:ascii="Times New Roman" w:cs="Times New Roman" w:eastAsia="Times New Roman" w:hAnsi="Times New Roman"/>
          <w:sz w:val="13"/>
          <w:szCs w:val="13"/>
          <w:color w:val="auto"/>
        </w:rPr>
        <w:t>” means any Person or Group or any Affiliate or associate of any such Person or Group.</w:t>
      </w:r>
    </w:p>
    <w:p>
      <w:pPr>
        <w:spacing w:after="0" w:line="153" w:lineRule="exact"/>
        <w:rPr>
          <w:rFonts w:ascii="Times New Roman" w:cs="Times New Roman" w:eastAsia="Times New Roman" w:hAnsi="Times New Roman"/>
          <w:sz w:val="13"/>
          <w:szCs w:val="13"/>
          <w:color w:val="auto"/>
        </w:rPr>
      </w:pPr>
    </w:p>
    <w:p>
      <w:pPr>
        <w:jc w:val="both"/>
        <w:ind w:left="640" w:right="899" w:firstLine="693"/>
        <w:spacing w:after="0" w:line="257" w:lineRule="auto"/>
        <w:tabs>
          <w:tab w:leader="none" w:pos="148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Successor Entity</w:t>
      </w:r>
      <w:r>
        <w:rPr>
          <w:rFonts w:ascii="Times New Roman" w:cs="Times New Roman" w:eastAsia="Times New Roman" w:hAnsi="Times New Roman"/>
          <w:sz w:val="13"/>
          <w:szCs w:val="13"/>
          <w:color w:val="auto"/>
        </w:rPr>
        <w:t>” means a Person formed by, resulting from or surviving any Fundamental Transaction or Change of Control or a Person which such Fundamental Transaction or Change of Control shall have been entered into or its Parent Entity if the holders of Common Stock receive securities of such Parent Entity in such Fundamental Transaction or Change of Control.</w:t>
      </w:r>
    </w:p>
    <w:p>
      <w:pPr>
        <w:spacing w:after="0" w:line="12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means any weekday on which the Principal Market is normally open for trading.</w:t>
      </w:r>
    </w:p>
    <w:p>
      <w:pPr>
        <w:spacing w:after="0" w:line="153" w:lineRule="exact"/>
        <w:rPr>
          <w:rFonts w:ascii="Times New Roman" w:cs="Times New Roman" w:eastAsia="Times New Roman" w:hAnsi="Times New Roman"/>
          <w:sz w:val="13"/>
          <w:szCs w:val="13"/>
          <w:color w:val="auto"/>
        </w:rPr>
      </w:pPr>
    </w:p>
    <w:p>
      <w:pPr>
        <w:ind w:left="640" w:right="659" w:firstLine="693"/>
        <w:spacing w:after="0" w:line="257"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 Documents</w:t>
      </w:r>
      <w:r>
        <w:rPr>
          <w:rFonts w:ascii="Times New Roman" w:cs="Times New Roman" w:eastAsia="Times New Roman" w:hAnsi="Times New Roman"/>
          <w:sz w:val="13"/>
          <w:szCs w:val="13"/>
          <w:color w:val="auto"/>
        </w:rPr>
        <w:t>” means this Warrant, that certain Securities Purchase Agreement, dated June 23, 2026, by and between the Company and the purchasers set forth therein, and any agreement entered into by and between the Company and the Holder, as applicable, in connection with such agreements.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33" w:name="page34"/>
    <w:bookmarkEnd w:id="33"/>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Company has caused this Warrant to Purchase Common Stock to be duly executed as of the Issuance Date set out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above.</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34" w:name="page35"/>
    <w:bookmarkEnd w:id="3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NOTICE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EXECUTED BY THE REGISTERED HOLDER TO EXERCISE THIS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SERIES A WARRANT TO PURCHASE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undersigned holder hereby exercises the right to purchase _________________ shares of Common Stock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and/or</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pre-funded warrants to purchase ________________ shares of Common Stock at a purchase price of $0.0001 (the “</w:t>
      </w:r>
      <w:r>
        <w:rPr>
          <w:rFonts w:ascii="Times New Roman" w:cs="Times New Roman" w:eastAsia="Times New Roman" w:hAnsi="Times New Roman"/>
          <w:sz w:val="13"/>
          <w:szCs w:val="13"/>
          <w:b w:val="1"/>
          <w:bCs w:val="1"/>
          <w:i w:val="1"/>
          <w:iCs w:val="1"/>
          <w:color w:val="auto"/>
        </w:rPr>
        <w:t>Pre-Funded Warrants</w:t>
      </w:r>
      <w:r>
        <w:rPr>
          <w:rFonts w:ascii="Times New Roman" w:cs="Times New Roman" w:eastAsia="Times New Roman" w:hAnsi="Times New Roman"/>
          <w:sz w:val="13"/>
          <w:szCs w:val="13"/>
          <w:color w:val="auto"/>
        </w:rPr>
        <w:t>”)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CalciMedica,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evidenced by the attached Series A Warrant to Purchase Common Stock (the “</w:t>
      </w:r>
      <w:r>
        <w:rPr>
          <w:rFonts w:ascii="Times New Roman" w:cs="Times New Roman" w:eastAsia="Times New Roman" w:hAnsi="Times New Roman"/>
          <w:sz w:val="12"/>
          <w:szCs w:val="12"/>
          <w:b w:val="1"/>
          <w:bCs w:val="1"/>
          <w:i w:val="1"/>
          <w:iCs w:val="1"/>
          <w:color w:val="auto"/>
        </w:rPr>
        <w:t>Warrant</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Capitalized terms used herein and not otherwise defined shall have the respective meanings set forth in the Warrant.</w:t>
      </w:r>
    </w:p>
    <w:p>
      <w:pPr>
        <w:spacing w:after="0" w:line="141" w:lineRule="exact"/>
        <w:rPr>
          <w:sz w:val="20"/>
          <w:szCs w:val="20"/>
          <w:color w:val="auto"/>
        </w:rPr>
      </w:pPr>
    </w:p>
    <w:p>
      <w:pPr>
        <w:ind w:left="640" w:right="659" w:firstLine="307"/>
        <w:spacing w:after="0" w:line="267" w:lineRule="auto"/>
        <w:tabs>
          <w:tab w:leader="none" w:pos="1076"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Price. The Holder intends that payment of the Exercise Price shall be made with respect to _________________ Warrant Shares and/or Pre-Funded Warrants exercisable for _______________ shares of Common Stock.</w:t>
      </w:r>
    </w:p>
    <w:p>
      <w:pPr>
        <w:spacing w:after="0" w:line="122" w:lineRule="exact"/>
        <w:rPr>
          <w:rFonts w:ascii="Times New Roman" w:cs="Times New Roman" w:eastAsia="Times New Roman" w:hAnsi="Times New Roman"/>
          <w:sz w:val="13"/>
          <w:szCs w:val="13"/>
          <w:color w:val="auto"/>
        </w:rPr>
      </w:pPr>
    </w:p>
    <w:p>
      <w:pPr>
        <w:ind w:left="640" w:right="1019" w:firstLine="307"/>
        <w:spacing w:after="0" w:line="309" w:lineRule="auto"/>
        <w:tabs>
          <w:tab w:leader="none" w:pos="107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Exercise Price. The Holder shall pay the Aggregate Exercise Price in the sum of $___________________ to the Company in accordance with the terms of the Warrant , and/or in lieu of cash payment, a “Cashless Exercise” with respect to ____________ Warrant Shares.</w:t>
      </w:r>
    </w:p>
    <w:p>
      <w:pPr>
        <w:spacing w:after="0" w:line="99" w:lineRule="exact"/>
        <w:rPr>
          <w:rFonts w:ascii="Times New Roman" w:cs="Times New Roman" w:eastAsia="Times New Roman" w:hAnsi="Times New Roman"/>
          <w:sz w:val="12"/>
          <w:szCs w:val="12"/>
          <w:color w:val="auto"/>
        </w:rPr>
      </w:pPr>
    </w:p>
    <w:p>
      <w:pPr>
        <w:ind w:left="640" w:right="859" w:firstLine="307"/>
        <w:spacing w:after="0" w:line="267" w:lineRule="auto"/>
        <w:tabs>
          <w:tab w:leader="none" w:pos="1076"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Delivery of Warrant Shares and/or Pre-Funded Warrants. The Company shall deliver to the holder _______________ Warrant Shares and/or Pre-Funded Warrants exercisable for ____________ shares of Common Stock in accordance with the terms of the Warrant.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_____________, ______</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Name of Registered Holder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35" w:name="page36"/>
    <w:bookmarkEnd w:id="3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separate document]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019"/>
          </w:cols>
          <w:pgMar w:left="1440" w:top="229" w:right="1440" w:bottom="1440" w:gutter="0" w:footer="0" w:header="0"/>
        </w:sectPr>
      </w:pPr>
    </w:p>
    <w:bookmarkStart w:id="36" w:name="page37"/>
    <w:bookmarkEnd w:id="3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4.3</w:t>
      </w:r>
    </w:p>
    <w:p>
      <w:pPr>
        <w:spacing w:after="0" w:line="15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2"/>
          <w:szCs w:val="12"/>
          <w:i w:val="1"/>
          <w:iCs w:val="1"/>
          <w:color w:val="auto"/>
        </w:rPr>
        <w:t>Execution Version</w:t>
      </w:r>
    </w:p>
    <w:p>
      <w:pPr>
        <w:spacing w:after="0" w:line="165"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p>
      <w:pPr>
        <w:spacing w:after="0" w:line="1" w:lineRule="exact"/>
        <w:rPr>
          <w:sz w:val="20"/>
          <w:szCs w:val="20"/>
          <w:color w:val="auto"/>
        </w:rPr>
      </w:pPr>
    </w:p>
    <w:p>
      <w:pPr>
        <w:ind w:left="640" w:right="759"/>
        <w:spacing w:after="0" w:line="244" w:lineRule="auto"/>
        <w:rPr>
          <w:sz w:val="20"/>
          <w:szCs w:val="20"/>
          <w:color w:val="auto"/>
        </w:rPr>
      </w:pPr>
      <w:r>
        <w:rPr>
          <w:rFonts w:ascii="Times New Roman" w:cs="Times New Roman" w:eastAsia="Times New Roman" w:hAnsi="Times New Roman"/>
          <w:sz w:val="13"/>
          <w:szCs w:val="13"/>
          <w:b w:val="1"/>
          <w:bCs w:val="1"/>
          <w:color w:val="auto"/>
        </w:rPr>
        <w:t>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SERIES B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SERIES B WARRANT TO PURCHASE COMMON STOCK OR PRE-FUNDED WARRANTS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Warrant No.: Series B-[_]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Common Stock or Pre-Funded Warrants: [_]</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of Issuance: Stockholder Approval Date (as defined in the Purchase Agreement) (“</w:t>
      </w:r>
      <w:r>
        <w:rPr>
          <w:rFonts w:ascii="Times New Roman" w:cs="Times New Roman" w:eastAsia="Times New Roman" w:hAnsi="Times New Roman"/>
          <w:sz w:val="13"/>
          <w:szCs w:val="13"/>
          <w:b w:val="1"/>
          <w:bCs w:val="1"/>
          <w:i w:val="1"/>
          <w:iCs w:val="1"/>
          <w:color w:val="auto"/>
        </w:rPr>
        <w:t>Issuance Date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CalciMedica, Inc., a company organized under the laws of Delaware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hereby certifies that, for good and valuable consideration, the receipt and sufficiency of which are hereby acknowledged, [HOLDER], the registered holder hereof or its permitted assigns (the “</w:t>
      </w:r>
      <w:r>
        <w:rPr>
          <w:rFonts w:ascii="Times New Roman" w:cs="Times New Roman" w:eastAsia="Times New Roman" w:hAnsi="Times New Roman"/>
          <w:sz w:val="12"/>
          <w:szCs w:val="12"/>
          <w:b w:val="1"/>
          <w:bCs w:val="1"/>
          <w:i w:val="1"/>
          <w:iCs w:val="1"/>
          <w:color w:val="auto"/>
        </w:rPr>
        <w:t>Holder</w:t>
      </w:r>
      <w:r>
        <w:rPr>
          <w:rFonts w:ascii="Times New Roman" w:cs="Times New Roman" w:eastAsia="Times New Roman" w:hAnsi="Times New Roman"/>
          <w:sz w:val="12"/>
          <w:szCs w:val="12"/>
          <w:color w:val="auto"/>
        </w:rPr>
        <w:t>”), is entitled, subject to the terms set forth below, to purchase from the Company, at the Exercise Price (as defined below) then in effect, at any time, and from time to time, following the Issuance Date, but not after 11:59 p.m., New York time, on the Expiration Date (the “</w:t>
      </w:r>
      <w:r>
        <w:rPr>
          <w:rFonts w:ascii="Times New Roman" w:cs="Times New Roman" w:eastAsia="Times New Roman" w:hAnsi="Times New Roman"/>
          <w:sz w:val="12"/>
          <w:szCs w:val="12"/>
          <w:b w:val="1"/>
          <w:bCs w:val="1"/>
          <w:i w:val="1"/>
          <w:iCs w:val="1"/>
          <w:color w:val="auto"/>
        </w:rPr>
        <w:t>Exercisability Period</w:t>
      </w:r>
      <w:r>
        <w:rPr>
          <w:rFonts w:ascii="Times New Roman" w:cs="Times New Roman" w:eastAsia="Times New Roman" w:hAnsi="Times New Roman"/>
          <w:sz w:val="12"/>
          <w:szCs w:val="12"/>
          <w:color w:val="auto"/>
        </w:rPr>
        <w:t>”), either (x) [______________ (_____________)] fully paid non-assessable shares of Common Stock (as defined below), subject to adjustment as provided herein</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or, (y) in lieu of all or a portion of such Warrant Shares, pre-funded warrants to purchase up to [______________</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(_____________)] shares of Common Stock for a future exercise price of $0.0001 (the “</w:t>
      </w:r>
      <w:r>
        <w:rPr>
          <w:rFonts w:ascii="Times New Roman" w:cs="Times New Roman" w:eastAsia="Times New Roman" w:hAnsi="Times New Roman"/>
          <w:sz w:val="12"/>
          <w:szCs w:val="12"/>
          <w:b w:val="1"/>
          <w:bCs w:val="1"/>
          <w:i w:val="1"/>
          <w:iCs w:val="1"/>
          <w:color w:val="auto"/>
        </w:rPr>
        <w:t>Pre-Funded Warrants</w:t>
      </w:r>
      <w:r>
        <w:rPr>
          <w:rFonts w:ascii="Times New Roman" w:cs="Times New Roman" w:eastAsia="Times New Roman" w:hAnsi="Times New Roman"/>
          <w:sz w:val="12"/>
          <w:szCs w:val="12"/>
          <w:color w:val="auto"/>
        </w:rPr>
        <w:t xml:space="preserve">”), in the form attached hereto as </w:t>
      </w:r>
      <w:r>
        <w:rPr>
          <w:rFonts w:ascii="Times New Roman" w:cs="Times New Roman" w:eastAsia="Times New Roman" w:hAnsi="Times New Roman"/>
          <w:sz w:val="12"/>
          <w:szCs w:val="12"/>
          <w:u w:val="single" w:color="auto"/>
          <w:color w:val="auto"/>
        </w:rPr>
        <w:t>Exhibit</w:t>
      </w:r>
    </w:p>
    <w:p>
      <w:pPr>
        <w:spacing w:after="0" w:line="14"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with such choice between Warrant Shares and Pre-Funded Warrants determined by the Maximum Percentage (as defined below). Except as otherwise defined herein, capitalized terms in this Series B Warrant to Purchase Common Stock or Pre-Funded Warrants (including any Series B Warrants to Purchase Common Stock or Pre-Funded Warrants issued in exchange, transfer or replacement hereof, this “</w:t>
      </w:r>
      <w:r>
        <w:rPr>
          <w:rFonts w:ascii="Times New Roman" w:cs="Times New Roman" w:eastAsia="Times New Roman" w:hAnsi="Times New Roman"/>
          <w:sz w:val="13"/>
          <w:szCs w:val="13"/>
          <w:b w:val="1"/>
          <w:bCs w:val="1"/>
          <w:i w:val="1"/>
          <w:iCs w:val="1"/>
          <w:color w:val="auto"/>
        </w:rPr>
        <w:t>Warrant</w:t>
      </w:r>
      <w:r>
        <w:rPr>
          <w:rFonts w:ascii="Times New Roman" w:cs="Times New Roman" w:eastAsia="Times New Roman" w:hAnsi="Times New Roman"/>
          <w:sz w:val="13"/>
          <w:szCs w:val="13"/>
          <w:color w:val="auto"/>
        </w:rPr>
        <w:t>”), shall have the meanings set forth in Section 16. This Warrant is one of the Series B Warrants to Purchase Common Stock or Pre-Funded Warrants (the “</w:t>
      </w:r>
      <w:r>
        <w:rPr>
          <w:rFonts w:ascii="Times New Roman" w:cs="Times New Roman" w:eastAsia="Times New Roman" w:hAnsi="Times New Roman"/>
          <w:sz w:val="13"/>
          <w:szCs w:val="13"/>
          <w:b w:val="1"/>
          <w:bCs w:val="1"/>
          <w:i w:val="1"/>
          <w:iCs w:val="1"/>
          <w:color w:val="auto"/>
        </w:rPr>
        <w:t>Other Warrants</w:t>
      </w:r>
      <w:r>
        <w:rPr>
          <w:rFonts w:ascii="Times New Roman" w:cs="Times New Roman" w:eastAsia="Times New Roman" w:hAnsi="Times New Roman"/>
          <w:sz w:val="13"/>
          <w:szCs w:val="13"/>
          <w:color w:val="auto"/>
        </w:rPr>
        <w:t>”) issued pursuant to that certain Securities Purchase Agreement (the “</w:t>
      </w:r>
      <w:r>
        <w:rPr>
          <w:rFonts w:ascii="Times New Roman" w:cs="Times New Roman" w:eastAsia="Times New Roman" w:hAnsi="Times New Roman"/>
          <w:sz w:val="13"/>
          <w:szCs w:val="13"/>
          <w:b w:val="1"/>
          <w:bCs w:val="1"/>
          <w:i w:val="1"/>
          <w:iCs w:val="1"/>
          <w:color w:val="auto"/>
        </w:rPr>
        <w:t>Purchase Agreement</w:t>
      </w:r>
      <w:r>
        <w:rPr>
          <w:rFonts w:ascii="Times New Roman" w:cs="Times New Roman" w:eastAsia="Times New Roman" w:hAnsi="Times New Roman"/>
          <w:sz w:val="13"/>
          <w:szCs w:val="13"/>
          <w:color w:val="auto"/>
        </w:rPr>
        <w:t>”), dated as of June 23, 2026 (the “</w:t>
      </w:r>
      <w:r>
        <w:rPr>
          <w:rFonts w:ascii="Times New Roman" w:cs="Times New Roman" w:eastAsia="Times New Roman" w:hAnsi="Times New Roman"/>
          <w:sz w:val="13"/>
          <w:szCs w:val="13"/>
          <w:b w:val="1"/>
          <w:bCs w:val="1"/>
          <w:i w:val="1"/>
          <w:iCs w:val="1"/>
          <w:color w:val="auto"/>
        </w:rPr>
        <w:t>Subscription Date</w:t>
      </w:r>
      <w:r>
        <w:rPr>
          <w:rFonts w:ascii="Times New Roman" w:cs="Times New Roman" w:eastAsia="Times New Roman" w:hAnsi="Times New Roman"/>
          <w:sz w:val="13"/>
          <w:szCs w:val="13"/>
          <w:color w:val="auto"/>
        </w:rPr>
        <w:t>”), by and between the Company and the Purchasers on the signature pages thereto.</w:t>
      </w:r>
    </w:p>
    <w:p>
      <w:pPr>
        <w:spacing w:after="0" w:line="137" w:lineRule="exact"/>
        <w:rPr>
          <w:sz w:val="20"/>
          <w:szCs w:val="20"/>
          <w:color w:val="auto"/>
        </w:rPr>
      </w:pPr>
    </w:p>
    <w:p>
      <w:pPr>
        <w:ind w:left="1080" w:hanging="133"/>
        <w:spacing w:after="0"/>
        <w:tabs>
          <w:tab w:leader="none" w:pos="1080"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EXERCISE OF WARRANT</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640" w:right="679" w:firstLine="693"/>
        <w:spacing w:after="0" w:line="266" w:lineRule="auto"/>
        <w:tabs>
          <w:tab w:leader="none" w:pos="1508"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Exercise</w:t>
      </w:r>
      <w:r>
        <w:rPr>
          <w:rFonts w:ascii="Times New Roman" w:cs="Times New Roman" w:eastAsia="Times New Roman" w:hAnsi="Times New Roman"/>
          <w:sz w:val="12"/>
          <w:szCs w:val="12"/>
          <w:color w:val="auto"/>
        </w:rPr>
        <w:t xml:space="preserve">. Subject to the terms and conditions hereof (including, without limitation, the limitations set forth in Section 1(f)), this Warrant may be exercised by the Holder at any time or times during the Exercisability Period, in whole or in part, by delivery (whether via electronic mail or otherwise) of a written notice,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Exercise Notice</w:t>
      </w:r>
      <w:r>
        <w:rPr>
          <w:rFonts w:ascii="Times New Roman" w:cs="Times New Roman" w:eastAsia="Times New Roman" w:hAnsi="Times New Roman"/>
          <w:sz w:val="12"/>
          <w:szCs w:val="12"/>
          <w:color w:val="auto"/>
        </w:rPr>
        <w:t xml:space="preserve">”) (and such date on which the Exercise Notice is delivered (as determined in accordance with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hereof), the “</w:t>
      </w:r>
      <w:r>
        <w:rPr>
          <w:rFonts w:ascii="Times New Roman" w:cs="Times New Roman" w:eastAsia="Times New Roman" w:hAnsi="Times New Roman"/>
          <w:sz w:val="12"/>
          <w:szCs w:val="12"/>
          <w:b w:val="1"/>
          <w:bCs w:val="1"/>
          <w:i w:val="1"/>
          <w:iCs w:val="1"/>
          <w:color w:val="auto"/>
        </w:rPr>
        <w:t>Exercise Date</w:t>
      </w:r>
      <w:r>
        <w:rPr>
          <w:rFonts w:ascii="Times New Roman" w:cs="Times New Roman" w:eastAsia="Times New Roman" w:hAnsi="Times New Roman"/>
          <w:sz w:val="12"/>
          <w:szCs w:val="12"/>
          <w:color w:val="auto"/>
        </w:rPr>
        <w:t>”), of the Holder’s election to exercise this Warrant. Within one (1) Trading Day following delivery of the Exercise Notice, the Holder shall pay to the Company of an amount equal to the Exercise Price in effect on the date of such exercise, as applicable to the exercise of the Warrant Shares or the Pre-Funded Warrants, multiplied by the number of Warrant Shares or Pre-Funded Warrants as to which this Warrant is being exercised (the “</w:t>
      </w:r>
      <w:r>
        <w:rPr>
          <w:rFonts w:ascii="Times New Roman" w:cs="Times New Roman" w:eastAsia="Times New Roman" w:hAnsi="Times New Roman"/>
          <w:sz w:val="12"/>
          <w:szCs w:val="12"/>
          <w:b w:val="1"/>
          <w:bCs w:val="1"/>
          <w:i w:val="1"/>
          <w:iCs w:val="1"/>
          <w:color w:val="auto"/>
        </w:rPr>
        <w:t>Aggregate Exercise Price</w:t>
      </w:r>
      <w:r>
        <w:rPr>
          <w:rFonts w:ascii="Times New Roman" w:cs="Times New Roman" w:eastAsia="Times New Roman" w:hAnsi="Times New Roman"/>
          <w:sz w:val="12"/>
          <w:szCs w:val="12"/>
          <w:color w:val="auto"/>
        </w:rPr>
        <w:t>”), or, if the provisions of</w:t>
      </w:r>
    </w:p>
    <w:p>
      <w:pPr>
        <w:spacing w:after="0" w:line="3" w:lineRule="exact"/>
        <w:rPr>
          <w:rFonts w:ascii="Times New Roman" w:cs="Times New Roman" w:eastAsia="Times New Roman" w:hAnsi="Times New Roman"/>
          <w:sz w:val="12"/>
          <w:szCs w:val="12"/>
          <w:color w:val="auto"/>
        </w:rPr>
      </w:pPr>
    </w:p>
    <w:p>
      <w:pPr>
        <w:jc w:val="both"/>
        <w:ind w:left="640" w:right="699"/>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1(c) are applicable by notifying the Company that this Warrant is being exercised pursuant to a Cashless Exercise (as defined in Section 1(c)) in cash by wire transfer of immediately available. The Holder shall not be required to deliver the original Warrant in order to effect an exercise hereunder, nor shall any ink-original signature or medallion guarantee (or other type of guarantee or notarization) with respect to any Exercise Notice be required.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37" w:name="page38"/>
    <w:bookmarkEnd w:id="37"/>
    <w:p>
      <w:pPr>
        <w:ind w:left="640" w:right="659"/>
        <w:spacing w:after="0" w:line="26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Execution and delivery of the Exercise Notice with respect to less than all of the Warrant Shares or Pre-Funded Warrants shall have the same effect as cancellation of the original Warrant and issuance of a new Warrant evidencing the right to purchase the remaining number of Warrant Shares or Pre-Funded Warrants and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five (5) Trading Days of the date on which the final Exercise Notice has been delivered to the Company. On the Exercise Date, the Company shall transmit by electronic mail an acknowledgment of confirmation of receipt of the Exercise Notice and Aggregate Exercise Price to the Holder and the Company’s transfer agent (the “</w:t>
      </w:r>
      <w:r>
        <w:rPr>
          <w:rFonts w:ascii="Times New Roman" w:cs="Times New Roman" w:eastAsia="Times New Roman" w:hAnsi="Times New Roman"/>
          <w:sz w:val="12"/>
          <w:szCs w:val="12"/>
          <w:b w:val="1"/>
          <w:bCs w:val="1"/>
          <w:i w:val="1"/>
          <w:iCs w:val="1"/>
          <w:color w:val="auto"/>
        </w:rPr>
        <w:t>Transfer Agent</w:t>
      </w:r>
      <w:r>
        <w:rPr>
          <w:rFonts w:ascii="Times New Roman" w:cs="Times New Roman" w:eastAsia="Times New Roman" w:hAnsi="Times New Roman"/>
          <w:sz w:val="12"/>
          <w:szCs w:val="12"/>
          <w:color w:val="auto"/>
        </w:rPr>
        <w:t>”). Upon exercise of this Warrant, if there is an effective registration statement permitting the issuance of the Warrant Shares to or the resale of such Warrant Shares by the Holder (“</w:t>
      </w:r>
      <w:r>
        <w:rPr>
          <w:rFonts w:ascii="Times New Roman" w:cs="Times New Roman" w:eastAsia="Times New Roman" w:hAnsi="Times New Roman"/>
          <w:sz w:val="12"/>
          <w:szCs w:val="12"/>
          <w:b w:val="1"/>
          <w:bCs w:val="1"/>
          <w:i w:val="1"/>
          <w:iCs w:val="1"/>
          <w:color w:val="auto"/>
        </w:rPr>
        <w:t>Registration Condition</w:t>
      </w:r>
      <w:r>
        <w:rPr>
          <w:rFonts w:ascii="Times New Roman" w:cs="Times New Roman" w:eastAsia="Times New Roman" w:hAnsi="Times New Roman"/>
          <w:sz w:val="12"/>
          <w:szCs w:val="12"/>
          <w:color w:val="auto"/>
        </w:rPr>
        <w:t>”), the Company shall promptly (but in no event later than the number of Trading Days compromising the Standard Settlement Period following the Exercise Date provided that the Aggregate Exercise Price has been received by the Company before 12:00 p.m. Eastern Time on such date, and if not, the Trading Day following receipt of such Aggregate Exercise Price (such date, the “</w:t>
      </w:r>
      <w:r>
        <w:rPr>
          <w:rFonts w:ascii="Times New Roman" w:cs="Times New Roman" w:eastAsia="Times New Roman" w:hAnsi="Times New Roman"/>
          <w:sz w:val="12"/>
          <w:szCs w:val="12"/>
          <w:b w:val="1"/>
          <w:bCs w:val="1"/>
          <w:i w:val="1"/>
          <w:iCs w:val="1"/>
          <w:color w:val="auto"/>
        </w:rPr>
        <w:t>Delivery Date</w:t>
      </w:r>
      <w:r>
        <w:rPr>
          <w:rFonts w:ascii="Times New Roman" w:cs="Times New Roman" w:eastAsia="Times New Roman" w:hAnsi="Times New Roman"/>
          <w:sz w:val="12"/>
          <w:szCs w:val="12"/>
          <w:color w:val="auto"/>
        </w:rPr>
        <w:t>”)), cause the Transfer Agent to (x) if the Transfer Agent is participating in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Fast Automated Securities Transfer Program (“</w:t>
      </w:r>
      <w:r>
        <w:rPr>
          <w:rFonts w:ascii="Times New Roman" w:cs="Times New Roman" w:eastAsia="Times New Roman" w:hAnsi="Times New Roman"/>
          <w:sz w:val="12"/>
          <w:szCs w:val="12"/>
          <w:b w:val="1"/>
          <w:bCs w:val="1"/>
          <w:i w:val="1"/>
          <w:iCs w:val="1"/>
          <w:color w:val="auto"/>
        </w:rPr>
        <w:t>FAST</w:t>
      </w:r>
      <w:r>
        <w:rPr>
          <w:rFonts w:ascii="Times New Roman" w:cs="Times New Roman" w:eastAsia="Times New Roman" w:hAnsi="Times New Roman"/>
          <w:sz w:val="12"/>
          <w:szCs w:val="12"/>
          <w:color w:val="auto"/>
        </w:rPr>
        <w:t>”), credit such aggregate number of Warrant Shares to which the Holder is entitled pursuant to such exercise to the Holder’s or its designee’s balance account with DTC through its Deposit / Withdrawal At Custodian system or (y) if the Transfer Agent is not participating in FAST, credit such aggregate number of Warrant Shares to which the Holder is entitled pursuant to such exercise to the Holder’s or its designee’s balance account in book entry form via a direct registration system (“</w:t>
      </w:r>
      <w:r>
        <w:rPr>
          <w:rFonts w:ascii="Times New Roman" w:cs="Times New Roman" w:eastAsia="Times New Roman" w:hAnsi="Times New Roman"/>
          <w:sz w:val="12"/>
          <w:szCs w:val="12"/>
          <w:b w:val="1"/>
          <w:bCs w:val="1"/>
          <w:i w:val="1"/>
          <w:iCs w:val="1"/>
          <w:color w:val="auto"/>
        </w:rPr>
        <w:t>DRS</w:t>
      </w:r>
      <w:r>
        <w:rPr>
          <w:rFonts w:ascii="Times New Roman" w:cs="Times New Roman" w:eastAsia="Times New Roman" w:hAnsi="Times New Roman"/>
          <w:sz w:val="12"/>
          <w:szCs w:val="12"/>
          <w:color w:val="auto"/>
        </w:rPr>
        <w:t>”) maintained by or on behalf of the Transfer Agent. If the Registration Condition is not met or the exercise is for Pre-Funded Warrants and not Warrant Shares, as applicable, (i) the Transfer Agent will, by the Delivery Date, at the request of the Holder, either (A) issue and dispatch by overnight courier to the address as specified in the Exercise Notice, a certificate registered in the name of the Holder or its designee, for the number of Warrant Shares to which the Holder is entitled pursuant to such exercise with an appropriate legend regarding restriction on transferability or (B) issue and record in the name of the Holder or its designee the number of Warrant Shares to which the Holder is entitled pursuant to such exercise in restricted book-entry form in the Company’s share register and deliver an electronic statement of such issuance to the electronic mail address as specified in the Exercise Notice and/or (ii) the warrant agent for the Pre-Funded Warrants (the “</w:t>
      </w:r>
      <w:r>
        <w:rPr>
          <w:rFonts w:ascii="Times New Roman" w:cs="Times New Roman" w:eastAsia="Times New Roman" w:hAnsi="Times New Roman"/>
          <w:sz w:val="12"/>
          <w:szCs w:val="12"/>
          <w:b w:val="1"/>
          <w:bCs w:val="1"/>
          <w:i w:val="1"/>
          <w:iCs w:val="1"/>
          <w:color w:val="auto"/>
        </w:rPr>
        <w:t>PFW Agent</w:t>
      </w:r>
      <w:r>
        <w:rPr>
          <w:rFonts w:ascii="Times New Roman" w:cs="Times New Roman" w:eastAsia="Times New Roman" w:hAnsi="Times New Roman"/>
          <w:sz w:val="12"/>
          <w:szCs w:val="12"/>
          <w:color w:val="auto"/>
        </w:rPr>
        <w:t>”) will, by the Delivery Date, issue and dispatch by overnight courier or electronic mail (at the request of the Holder) to the address as specified in the Exercise Notice, Pre-Funded Warrants registered in the name of the Holder or its designee, exercisable for the number of shares of Common Stock to which the Holder is entitled pursuant to such exercise. The Company shall be responsible for all fees and expenses of the Transfer Agent, the PFW Agent and all fees and expenses with respect to the issuance of Warrant Shares via DTC, if any. Upon the Exercise Date, the Holder shall be deemed solely for purposes of Regulation SHO to have become the holder of record and beneficial owner of the Warrant Shares or Pre-Funded Warrants with respect to which this Warrant has been exercised, irrespective of the date such Warrant Shares are credited to the Holder’s DTC account or the date of delivery of the certificates evidencing such Warrant Shares or the Pre-Funded Warrants. If this Warrant is physically delivered to the Company in connection with any exercise pursuant to this Section 1(a) and the number of Warrant Shares or Pre-Funded Warrants represented by this Warrant submitted for exercise is greater than the number of Warrant Shares or Pre-Funded Warrants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or Pre-Funded Warrants issuable immediately prior to such exercise under this Warrant, less the number of Warrant Shares or Pre-Funded Warrants with respect to which this Warrant is exercised. No fractional Warrant Shares or Pre-Funded Warrants are to be issued upon the exercise of this Warrant, but rather the number of Warrant Shares or Pre-Funded Warrants to be issued shall be rounded down to the nearest whole number. The Company shall pay any and all transfer, stamp, issuance and similar taxes, costs and expenses (including, without limitation, fees and expenses of the Transfer Agent and the PFW Agent) which may be payable with respect to the issuance and delivery of Warrant Shares or Pre-Funded Warrants upon exercise of this Warrant. The Company’s obligations to issue and deliver Warrant Shares or Pre-Funded Warrants in accordance with the terms and subject to the conditions hereof (including payment of the Aggregate Exercise Price)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38" w:name="page39"/>
    <w:bookmarkEnd w:id="38"/>
    <w:p>
      <w:pPr>
        <w:ind w:left="640" w:right="879" w:firstLine="693"/>
        <w:spacing w:after="0" w:line="270" w:lineRule="auto"/>
        <w:tabs>
          <w:tab w:leader="none" w:pos="151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Exercise Price</w:t>
      </w:r>
      <w:r>
        <w:rPr>
          <w:rFonts w:ascii="Times New Roman" w:cs="Times New Roman" w:eastAsia="Times New Roman" w:hAnsi="Times New Roman"/>
          <w:sz w:val="13"/>
          <w:szCs w:val="13"/>
          <w:color w:val="auto"/>
        </w:rPr>
        <w:t>. For purposes of this Warrant, “</w:t>
      </w:r>
      <w:r>
        <w:rPr>
          <w:rFonts w:ascii="Times New Roman" w:cs="Times New Roman" w:eastAsia="Times New Roman" w:hAnsi="Times New Roman"/>
          <w:sz w:val="13"/>
          <w:szCs w:val="13"/>
          <w:b w:val="1"/>
          <w:bCs w:val="1"/>
          <w:i w:val="1"/>
          <w:iCs w:val="1"/>
          <w:color w:val="auto"/>
        </w:rPr>
        <w:t>Exercise Price</w:t>
      </w:r>
      <w:r>
        <w:rPr>
          <w:rFonts w:ascii="Times New Roman" w:cs="Times New Roman" w:eastAsia="Times New Roman" w:hAnsi="Times New Roman"/>
          <w:sz w:val="13"/>
          <w:szCs w:val="13"/>
          <w:color w:val="auto"/>
        </w:rPr>
        <w:t>” means $1.00 per share for Warrant Shares and $0.0001 per share for each share of Common Stock underlying the Pre-Funded Warrants, subject to adjustment as provided herein.</w:t>
      </w:r>
    </w:p>
    <w:p>
      <w:pPr>
        <w:spacing w:after="0" w:line="120"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0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Cashless Exercise</w:t>
      </w:r>
      <w:r>
        <w:rPr>
          <w:rFonts w:ascii="Times New Roman" w:cs="Times New Roman" w:eastAsia="Times New Roman" w:hAnsi="Times New Roman"/>
          <w:sz w:val="13"/>
          <w:szCs w:val="13"/>
          <w:color w:val="auto"/>
        </w:rPr>
        <w:t>. Notwithstanding anything herein to the contrary, if following the date that is six (6) months following the Issuance Date of this Warrant, a registration statement covering the resale of the Exercise Notice Warrant Shares (as defined in Section 1(d)) is not available for the resale of such Exercise Notice Warrant Shares,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X = Y [(A-B)/A] where:</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“X” equals the number of Warrant Shares to be issued to the Holder;</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“Y” equals the total number of Warrant Shares with respect to which this Warrant is then being exercised;</w:t>
      </w:r>
    </w:p>
    <w:p>
      <w:pPr>
        <w:spacing w:after="0" w:line="78" w:lineRule="exact"/>
        <w:rPr>
          <w:sz w:val="20"/>
          <w:szCs w:val="20"/>
          <w:color w:val="auto"/>
        </w:rPr>
      </w:pPr>
    </w:p>
    <w:p>
      <w:pPr>
        <w:ind w:left="940" w:right="779" w:firstLine="297"/>
        <w:spacing w:after="0" w:line="267" w:lineRule="auto"/>
        <w:rPr>
          <w:sz w:val="20"/>
          <w:szCs w:val="20"/>
          <w:color w:val="auto"/>
        </w:rPr>
      </w:pPr>
      <w:r>
        <w:rPr>
          <w:rFonts w:ascii="Times New Roman" w:cs="Times New Roman" w:eastAsia="Times New Roman" w:hAnsi="Times New Roman"/>
          <w:sz w:val="13"/>
          <w:szCs w:val="13"/>
          <w:color w:val="auto"/>
        </w:rPr>
        <w:t>“A” equals the Closing Sale Price of the shares of Common Stock (as reported by Bloomberg Financial Markets) as of the Trading Day on the date immediately preceding the Exercise Date; and</w:t>
      </w:r>
    </w:p>
    <w:p>
      <w:pPr>
        <w:spacing w:after="0" w:line="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“B” equals the Exercise Price then in effect for the applicable Warrant Shares at the time of such exercise.</w:t>
      </w:r>
    </w:p>
    <w:p>
      <w:pPr>
        <w:spacing w:after="0" w:line="154"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Commission continues to take the position that such treatment is proper at the time of such exercise). In the event that a registration statement registering the resale of Warrant Shares is, for any reason, not effective at the time of exercise of this Warrant, then the Warrant may only be exercised through a cashless exercise, as set forth in this Section 1(c). If the Warrant Shares are issued in such a cashless exercise, the Company acknowledges and agrees that, in accordance with Section 3(a)(9) of the Securities Act, the Exercise Notice Warrant Shares issued in such exercise shall take on the registered characteristics of the Warrants being exercised and may be tacked on to the holding period of the Warrants being exercised.</w:t>
      </w:r>
    </w:p>
    <w:p>
      <w:pPr>
        <w:spacing w:after="0" w:line="139" w:lineRule="exact"/>
        <w:rPr>
          <w:sz w:val="20"/>
          <w:szCs w:val="20"/>
          <w:color w:val="auto"/>
        </w:rPr>
      </w:pPr>
    </w:p>
    <w:p>
      <w:pPr>
        <w:ind w:left="640" w:right="659" w:firstLine="693"/>
        <w:spacing w:after="0" w:line="269" w:lineRule="auto"/>
        <w:tabs>
          <w:tab w:leader="none" w:pos="1515"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Company’s Failure to Timely Deliver Securities</w:t>
      </w:r>
      <w:r>
        <w:rPr>
          <w:rFonts w:ascii="Times New Roman" w:cs="Times New Roman" w:eastAsia="Times New Roman" w:hAnsi="Times New Roman"/>
          <w:sz w:val="12"/>
          <w:szCs w:val="12"/>
          <w:color w:val="auto"/>
        </w:rPr>
        <w:t>. If either (I) the Company shall fail for any reason or for no reason to issue or cause the issuance to the Holder or its designee of the Warrant Shares or Pre-Funded Warrants that are the subject of the Exercise Notice (the “</w:t>
      </w:r>
      <w:r>
        <w:rPr>
          <w:rFonts w:ascii="Times New Roman" w:cs="Times New Roman" w:eastAsia="Times New Roman" w:hAnsi="Times New Roman"/>
          <w:sz w:val="12"/>
          <w:szCs w:val="12"/>
          <w:b w:val="1"/>
          <w:bCs w:val="1"/>
          <w:i w:val="1"/>
          <w:iCs w:val="1"/>
          <w:color w:val="auto"/>
        </w:rPr>
        <w:t>Exercise Notice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Warrant Shares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Exercise Notice Pre-Funded Warrants</w:t>
      </w:r>
      <w:r>
        <w:rPr>
          <w:rFonts w:ascii="Times New Roman" w:cs="Times New Roman" w:eastAsia="Times New Roman" w:hAnsi="Times New Roman"/>
          <w:sz w:val="12"/>
          <w:szCs w:val="12"/>
          <w:color w:val="auto"/>
        </w:rPr>
        <w:t>”, as applicable) on or prior to the applicable Delivery Date or (II) the Registration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Condition is not met with respect to the Exercise Notice Warrant Shares and (x) the Company fails to promptly, but in no event later than one</w:t>
      </w:r>
    </w:p>
    <w:p>
      <w:pPr>
        <w:ind w:left="640" w:right="659" w:hanging="3"/>
        <w:spacing w:after="0" w:line="243" w:lineRule="auto"/>
        <w:tabs>
          <w:tab w:leader="none" w:pos="819"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 after such registration statement becomes unavailable, to so notify the Holder and (y) the Company is unable to deliver the Exercise Notice Warrant Shares electronically by the Delivery Date without any restrictive legend by crediting such aggregate number of Exercise Notice Warrant Shares to the Holder’s or its designee’s balance account with DTC through its Deposit / Withdrawal At Custodian system or in book entry from via a DRS, as applicable, (the event described in the immediately foregoing clause (II) together with the event described in clause (I) above, an “</w:t>
      </w:r>
      <w:r>
        <w:rPr>
          <w:rFonts w:ascii="Times New Roman" w:cs="Times New Roman" w:eastAsia="Times New Roman" w:hAnsi="Times New Roman"/>
          <w:sz w:val="13"/>
          <w:szCs w:val="13"/>
          <w:b w:val="1"/>
          <w:bCs w:val="1"/>
          <w:i w:val="1"/>
          <w:iCs w:val="1"/>
          <w:color w:val="auto"/>
        </w:rPr>
        <w:t>Exercise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Failure</w:t>
      </w:r>
      <w:r>
        <w:rPr>
          <w:rFonts w:ascii="Times New Roman" w:cs="Times New Roman" w:eastAsia="Times New Roman" w:hAnsi="Times New Roman"/>
          <w:sz w:val="13"/>
          <w:szCs w:val="13"/>
          <w:color w:val="auto"/>
        </w:rPr>
        <w:t>”), in each case other than any failure caused by incorrect or incomplete information provided by the Holder to the Company, and following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applicable Delivery Date the Holder is required by its broker to purchase (in an open market transaction or otherwise) or the Holder’s brokerage firm otherwise purchases, shares of Common Stock to deliver in satisfaction of a sale by the Holder of the Warrant Shares or Pre-Funded Warrants which the Holder anticipated receiving upon such exercise (a “</w:t>
      </w:r>
      <w:r>
        <w:rPr>
          <w:rFonts w:ascii="Times New Roman" w:cs="Times New Roman" w:eastAsia="Times New Roman" w:hAnsi="Times New Roman"/>
          <w:sz w:val="13"/>
          <w:szCs w:val="13"/>
          <w:b w:val="1"/>
          <w:bCs w:val="1"/>
          <w:i w:val="1"/>
          <w:iCs w:val="1"/>
          <w:color w:val="auto"/>
        </w:rPr>
        <w:t>Buy-In</w:t>
      </w:r>
      <w:r>
        <w:rPr>
          <w:rFonts w:ascii="Times New Roman" w:cs="Times New Roman" w:eastAsia="Times New Roman" w:hAnsi="Times New Roman"/>
          <w:sz w:val="13"/>
          <w:szCs w:val="13"/>
          <w:color w:val="auto"/>
        </w:rPr>
        <w:t>”), then, in addition to all other remedies available to the Holder,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or Pre-Funded Warrants that the Company was required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39" w:name="page40"/>
    <w:bookmarkEnd w:id="39"/>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deliver to the Holder in connection with the exercise at issue times (2) the price at which the sell order giving rise to such purchase obligation was executed, and (B) at the option of the Holder, either reinstate the portion of the Warrant and equivalent number of Warrant Shares or Pre-Funded Warrants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FAST.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or Pre-Funded Warrants upon an exercise pursuant to Section 1 by the applicable Delivery Date, then the Holder shall have the right to rescind such exercise in whole or in part and retain and/or have the Company return, as the case may be, any portion of this Warrant that has not been exercised pursuant to such Exercise Notice;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rescission of an exercise shall not affect the Company’s obligation to make any payments that have accrued prior to the date of such notice pursuant to this Section 1(d) or otherwise, and (ii) if the Registration Condition is not met with respect to the Exercise Notice Warrant Shares and the Holder has submitted an Exercise Notice prior to receiving notice of the non-availability of such registration statement and the Company has not already delivered the Exercise Notice Warrant Shares electronically without any restrictive legend by crediting such aggregate number of Exercise Notice Warrant Shares to which the Holder is entitled pursuant to such exercise to the Holder’s or its designee’s balance account with DTC through its Deposit / Withdrawal At Custodian system, the Holder shall have the option, by delivery of notice to the Company, to rescind such Exercise Notice in whole or in part and retain or have returned, as the case may be, any portion of this Warrant that has not been exercised pursuant to such Exercise Notice;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rescission of an Exercise Notice shall not affect the Company’s obligation to make any payments that have accrued prior to the date of such notice pursuant to this Section 1(d)or otherwise and/or switch some or all of such Exercise Notice from a cash exercise to a Cashless Exercise.</w:t>
      </w:r>
    </w:p>
    <w:p>
      <w:pPr>
        <w:spacing w:after="0" w:line="286" w:lineRule="exact"/>
        <w:rPr>
          <w:sz w:val="20"/>
          <w:szCs w:val="20"/>
          <w:color w:val="auto"/>
        </w:rPr>
      </w:pPr>
    </w:p>
    <w:p>
      <w:pPr>
        <w:ind w:left="640" w:right="679" w:firstLine="693"/>
        <w:spacing w:after="0" w:line="255" w:lineRule="auto"/>
        <w:tabs>
          <w:tab w:leader="none" w:pos="15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Disputes</w:t>
      </w:r>
      <w:r>
        <w:rPr>
          <w:rFonts w:ascii="Times New Roman" w:cs="Times New Roman" w:eastAsia="Times New Roman" w:hAnsi="Times New Roman"/>
          <w:sz w:val="13"/>
          <w:szCs w:val="13"/>
          <w:color w:val="auto"/>
        </w:rPr>
        <w:t>. In the case of a dispute as to the determination of the applicable Exercise Price or the arithmetic calculation of the Warrant Shares and/or Pre-Funded Warrants, the Company shall promptly issue to the Holder the number of Warrant Shares and/or Pre-Funded Warrants that are not disputed and resolve such dispute in accordance with Section 11.</w:t>
      </w:r>
    </w:p>
    <w:p>
      <w:pPr>
        <w:spacing w:after="0" w:line="13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the Company shall not effect the exercise of any portion of this Warrant for Warrant Shares, and the Holder shall not have the right to exercise any portion of this Warrant for Warrant Shares, pursuant to the terms and conditions of this Warrant and any such exercise of this Warrant for Warrant Shares shall as further described below be treated as an exercise of this Warrant for Pre-Funded Warrants, to the extent that after giving effect to such exercise of the Warrant for Warrant Shares, the Holder together with the other Attribution Parties collectively would beneficially own in excess of [4.99][9.99][19.99]% (the “</w:t>
      </w:r>
      <w:r>
        <w:rPr>
          <w:rFonts w:ascii="Times New Roman" w:cs="Times New Roman" w:eastAsia="Times New Roman" w:hAnsi="Times New Roman"/>
          <w:sz w:val="13"/>
          <w:szCs w:val="13"/>
          <w:b w:val="1"/>
          <w:bCs w:val="1"/>
          <w:i w:val="1"/>
          <w:iCs w:val="1"/>
          <w:color w:val="auto"/>
        </w:rPr>
        <w:t>Maximum Percentage</w:t>
      </w:r>
      <w:r>
        <w:rPr>
          <w:rFonts w:ascii="Times New Roman" w:cs="Times New Roman" w:eastAsia="Times New Roman" w:hAnsi="Times New Roman"/>
          <w:sz w:val="13"/>
          <w:szCs w:val="13"/>
          <w:color w:val="auto"/>
        </w:rPr>
        <w:t xml:space="preserve">”) of the number of shares of Common Stock outstanding immediately after giving effect to such exercise of the Warrants for Warrant Shares. In any case in which the exercise of the Warrant for Warrant Shares would result in the Holder together with the other Attribution Parties collectively beneficially owning shares of Common Stock in excess of the Maximum Percentage, the Company shall issue to the Holder the number of shares of Common Stock that would result in such Holder beneficially owning shares of Common Stock equal to the Maximum Percentage. Any shares of Common Stock otherwise due to such Holder upon such exercise in excess of the Maximum Percentage will in lieu thereof be issued in the form of Pre-Funded Warrants pursuant to the form of the Pre-Funded Warrant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and, as soon as reasonably practicable, the Company shall return to the Holder any Exercise Price paid by the Holder for the Reduction Shares (as defined below) in excess of the Exercise Price for the Pre-Funded Warrants issued to the Holder. Upon delivery of a written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40" w:name="page41"/>
    <w:bookmarkEnd w:id="40"/>
    <w:p>
      <w:pPr>
        <w:ind w:left="640" w:right="7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notice to the Company, the Holder may from time to time increase or decrease the Maximum Percentage to any other percentage as specified in such notice;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Securities Exchange Act of 1934, as amended (the “</w:t>
      </w:r>
      <w:r>
        <w:rPr>
          <w:rFonts w:ascii="Times New Roman" w:cs="Times New Roman" w:eastAsia="Times New Roman" w:hAnsi="Times New Roman"/>
          <w:sz w:val="13"/>
          <w:szCs w:val="13"/>
          <w:b w:val="1"/>
          <w:bCs w:val="1"/>
          <w:i w:val="1"/>
          <w:iCs w:val="1"/>
          <w:color w:val="auto"/>
        </w:rPr>
        <w:t>1934 Act</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659" w:firstLine="1003"/>
        <w:spacing w:after="0" w:line="265" w:lineRule="auto"/>
        <w:tabs>
          <w:tab w:leader="none" w:pos="1824"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the determining the Maximum Percentage,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Section 1(f)(1). For purposes of Section 1(f)(1), beneficial ownership shall be calculated in accordance with Section 13(d) of the 1934 Act.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w:t>
      </w:r>
    </w:p>
    <w:p>
      <w:pPr>
        <w:spacing w:after="0" w:line="5" w:lineRule="exact"/>
        <w:rPr>
          <w:rFonts w:ascii="Times New Roman" w:cs="Times New Roman" w:eastAsia="Times New Roman" w:hAnsi="Times New Roman"/>
          <w:sz w:val="12"/>
          <w:szCs w:val="12"/>
          <w:color w:val="auto"/>
        </w:rPr>
      </w:pPr>
    </w:p>
    <w:p>
      <w:pPr>
        <w:ind w:left="640" w:right="779" w:hanging="3"/>
        <w:spacing w:after="0" w:line="263" w:lineRule="auto"/>
        <w:tabs>
          <w:tab w:leader="none" w:pos="819"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as the case may be, (y) a more recent public announcement by the Company or</w:t>
      </w:r>
    </w:p>
    <w:p>
      <w:pPr>
        <w:ind w:left="800" w:hanging="163"/>
        <w:spacing w:after="0"/>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written notice by the Company or the Transfer Agent setting forth the number of shares of Common Stock outstanding (the “</w:t>
      </w:r>
      <w:r>
        <w:rPr>
          <w:rFonts w:ascii="Times New Roman" w:cs="Times New Roman" w:eastAsia="Times New Roman" w:hAnsi="Times New Roman"/>
          <w:sz w:val="13"/>
          <w:szCs w:val="13"/>
          <w:b w:val="1"/>
          <w:bCs w:val="1"/>
          <w:i w:val="1"/>
          <w:iCs w:val="1"/>
          <w:color w:val="auto"/>
        </w:rPr>
        <w:t>Reported</w:t>
      </w:r>
    </w:p>
    <w:p>
      <w:pPr>
        <w:spacing w:after="0" w:line="2" w:lineRule="exact"/>
        <w:rPr>
          <w:rFonts w:ascii="Times New Roman" w:cs="Times New Roman" w:eastAsia="Times New Roman" w:hAnsi="Times New Roman"/>
          <w:sz w:val="13"/>
          <w:szCs w:val="13"/>
          <w:color w:val="auto"/>
        </w:rPr>
      </w:pPr>
    </w:p>
    <w:p>
      <w:pPr>
        <w:ind w:left="640" w:right="67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Outstanding Share Number</w:t>
      </w:r>
      <w:r>
        <w:rPr>
          <w:rFonts w:ascii="Times New Roman" w:cs="Times New Roman" w:eastAsia="Times New Roman" w:hAnsi="Times New Roman"/>
          <w:sz w:val="13"/>
          <w:szCs w:val="13"/>
          <w:color w:val="auto"/>
        </w:rPr>
        <w:t>”). If the Company receives an Exercise Notice from the Holder at a time when the actual number of outstanding shares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Common Stock is less than the Reported Outstanding Share Number, the Company shall (i) promptly notify the Holder in writing of the number of shares of Common Stock then outstanding and, to the extent that such Exercise Notice would otherwise cause the Holder’s beneficial ownership, as determined pursuant to this Section 1(f), to exceed the Maximum Percentage, the Company will issue Pre-Funded Warrants in lieu of Warrant Shares that would cause the Holder’s beneficial ownership to exceed the Maximum Percentage (the number of Warrant Shares by which such purchase is reduced, the “</w:t>
      </w:r>
      <w:r>
        <w:rPr>
          <w:rFonts w:ascii="Times New Roman" w:cs="Times New Roman" w:eastAsia="Times New Roman" w:hAnsi="Times New Roman"/>
          <w:sz w:val="13"/>
          <w:szCs w:val="13"/>
          <w:b w:val="1"/>
          <w:bCs w:val="1"/>
          <w:i w:val="1"/>
          <w:iCs w:val="1"/>
          <w:color w:val="auto"/>
        </w:rPr>
        <w:t>Reduction Shares</w:t>
      </w:r>
      <w:r>
        <w:rPr>
          <w:rFonts w:ascii="Times New Roman" w:cs="Times New Roman" w:eastAsia="Times New Roman" w:hAnsi="Times New Roman"/>
          <w:sz w:val="13"/>
          <w:szCs w:val="13"/>
          <w:color w:val="auto"/>
        </w:rPr>
        <w:t>”) and (ii) as soon as reasonably practicable, and in any event, within five (5) Trading Days, the Company shall return to the Holder any Exercise Price paid by the Holder for the Reduction Shares in excess of the Exercise Price for the Pre-Funded Warrants issued to the Holder.</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24"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written request of the Holder, the Company shall within one (1) Business Day confirm in writing (including by electronic mail) to the Holder that the number of shares of Common Stock then outstanding is not less than the Reported Outstanding Share Number or, if the number of shares of Common Stock then outstanding is less than the Reported Outstanding Share Number, the Company shall confirm in writing (including by electronic mail) to the Holder the number of shares of Common Stock then outstanding. In any case, the number of outstanding shares of Common Stock shall be determined after giving effect to the conversion or exercise of securities of the Company, including this Warrant upon receipt of an Exercise Notice, by the Holder and any other Attribution Party since the date as of which the Reported Outstanding Share Number was reported. No prior inability to exercise this Warrant for Warrant Shares pursuant to this paragraph shall have any effect on the applicability of the provisions of this paragraph with respect to any subsequent determination of exercisability. The provisions of this paragraph shall not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41" w:name="page42"/>
    <w:bookmarkEnd w:id="41"/>
    <w:p>
      <w:pPr>
        <w:ind w:left="640" w:right="659" w:firstLine="693"/>
        <w:spacing w:after="0" w:line="268" w:lineRule="auto"/>
        <w:tabs>
          <w:tab w:leader="none" w:pos="1515" w:val="left"/>
        </w:tabs>
        <w:numPr>
          <w:ilvl w:val="2"/>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Required Reserve Amount</w:t>
      </w:r>
      <w:r>
        <w:rPr>
          <w:rFonts w:ascii="Times New Roman" w:cs="Times New Roman" w:eastAsia="Times New Roman" w:hAnsi="Times New Roman"/>
          <w:sz w:val="12"/>
          <w:szCs w:val="12"/>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2"/>
          <w:szCs w:val="12"/>
          <w:b w:val="1"/>
          <w:bCs w:val="1"/>
          <w:i w:val="1"/>
          <w:iCs w:val="1"/>
          <w:color w:val="auto"/>
        </w:rPr>
        <w:t>Required Reserve Amount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2"/>
          <w:szCs w:val="12"/>
          <w:b w:val="1"/>
          <w:bCs w:val="1"/>
          <w:i w:val="1"/>
          <w:iCs w:val="1"/>
          <w:color w:val="auto"/>
        </w:rPr>
        <w:t>Authorized Share Allocation</w:t>
      </w:r>
      <w:r>
        <w:rPr>
          <w:rFonts w:ascii="Times New Roman" w:cs="Times New Roman" w:eastAsia="Times New Roman" w:hAnsi="Times New Roman"/>
          <w:sz w:val="12"/>
          <w:szCs w:val="12"/>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15" w:val="left"/>
        </w:tabs>
        <w:numPr>
          <w:ilvl w:val="2"/>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Insufficient Authorized Shares</w:t>
      </w:r>
      <w:r>
        <w:rPr>
          <w:rFonts w:ascii="Times New Roman" w:cs="Times New Roman" w:eastAsia="Times New Roman" w:hAnsi="Times New Roman"/>
          <w:sz w:val="12"/>
          <w:szCs w:val="12"/>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2"/>
          <w:szCs w:val="12"/>
          <w:b w:val="1"/>
          <w:bCs w:val="1"/>
          <w:i w:val="1"/>
          <w:iCs w:val="1"/>
          <w:color w:val="auto"/>
        </w:rPr>
        <w:t>Authorized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Share Failure</w:t>
      </w:r>
      <w:r>
        <w:rPr>
          <w:rFonts w:ascii="Times New Roman" w:cs="Times New Roman" w:eastAsia="Times New Roman" w:hAnsi="Times New Roman"/>
          <w:sz w:val="12"/>
          <w:szCs w:val="12"/>
          <w:color w:val="auto"/>
        </w:rPr>
        <w:t>”), then the Company shall promptly take all action reasonably necessary to increase the Company’s authorized shares of Common Stock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w:t>
      </w:r>
    </w:p>
    <w:p>
      <w:pPr>
        <w:ind w:left="640" w:right="699" w:hanging="3"/>
        <w:spacing w:after="0" w:line="244" w:lineRule="auto"/>
        <w:tabs>
          <w:tab w:leader="none" w:pos="88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the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075" w:val="left"/>
        </w:tabs>
        <w:numPr>
          <w:ilvl w:val="1"/>
          <w:numId w:val="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ADJUSTMENT OF EXERCISE PRICE AND NUMBER OF WARRANT SHARES OR PRE-FUNDED WARRANTS</w:t>
      </w:r>
      <w:r>
        <w:rPr>
          <w:rFonts w:ascii="Times New Roman" w:cs="Times New Roman" w:eastAsia="Times New Roman" w:hAnsi="Times New Roman"/>
          <w:sz w:val="13"/>
          <w:szCs w:val="13"/>
          <w:color w:val="auto"/>
        </w:rPr>
        <w:t>. The Exercise Price and the number of Warrant Shares or Pre-Funded Warrants shall be adjusted from time to time as follows:</w:t>
      </w:r>
    </w:p>
    <w:p>
      <w:pPr>
        <w:spacing w:after="0" w:line="122" w:lineRule="exact"/>
        <w:rPr>
          <w:rFonts w:ascii="Times New Roman" w:cs="Times New Roman" w:eastAsia="Times New Roman" w:hAnsi="Times New Roman"/>
          <w:sz w:val="13"/>
          <w:szCs w:val="13"/>
          <w:b w:val="1"/>
          <w:bCs w:val="1"/>
          <w:color w:val="auto"/>
        </w:rPr>
      </w:pPr>
    </w:p>
    <w:p>
      <w:pPr>
        <w:ind w:left="1500" w:hanging="167"/>
        <w:spacing w:after="0"/>
        <w:tabs>
          <w:tab w:leader="none" w:pos="1500" w:val="left"/>
        </w:tabs>
        <w:numPr>
          <w:ilvl w:val="2"/>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15" w:val="left"/>
        </w:tabs>
        <w:numPr>
          <w:ilvl w:val="2"/>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 Upon Subdivision or Combination of Common Stock</w:t>
      </w:r>
      <w:r>
        <w:rPr>
          <w:rFonts w:ascii="Times New Roman" w:cs="Times New Roman" w:eastAsia="Times New Roman" w:hAnsi="Times New Roman"/>
          <w:sz w:val="13"/>
          <w:szCs w:val="13"/>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or Pre-Funded Warrants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or Pre-Funded Warrants will be proportionately decreased. Any adjustment under this Section 2(b) shall become effective at the close of business on the date the subdivision or combination becomes effective.</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508" w:val="left"/>
        </w:tabs>
        <w:numPr>
          <w:ilvl w:val="2"/>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Events</w:t>
      </w:r>
      <w:r>
        <w:rPr>
          <w:rFonts w:ascii="Times New Roman" w:cs="Times New Roman" w:eastAsia="Times New Roman" w:hAnsi="Times New Roman"/>
          <w:sz w:val="13"/>
          <w:szCs w:val="13"/>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such adjustment pursuant to this Section 2(c) will increase the Exercise Price or decrease the number of Warrant Shares or Pre-Funded Warrants as otherwise determined pursuant to this Section 2.</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42" w:name="page43"/>
    <w:bookmarkEnd w:id="42"/>
    <w:p>
      <w:pPr>
        <w:ind w:left="640" w:right="679" w:firstLine="307"/>
        <w:spacing w:after="0" w:line="245" w:lineRule="auto"/>
        <w:tabs>
          <w:tab w:leader="none" w:pos="1075"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RIGHTS UPON DISTRIBUTION OF ASSETS</w:t>
      </w:r>
      <w:r>
        <w:rPr>
          <w:rFonts w:ascii="Times New Roman" w:cs="Times New Roman" w:eastAsia="Times New Roman" w:hAnsi="Times New Roman"/>
          <w:sz w:val="13"/>
          <w:szCs w:val="13"/>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3"/>
          <w:szCs w:val="13"/>
          <w:b w:val="1"/>
          <w:bCs w:val="1"/>
          <w:i w:val="1"/>
          <w:iCs w:val="1"/>
          <w:color w:val="auto"/>
        </w:rPr>
        <w:t>Distribution</w:t>
      </w:r>
      <w:r>
        <w:rPr>
          <w:rFonts w:ascii="Times New Roman" w:cs="Times New Roman" w:eastAsia="Times New Roman" w:hAnsi="Times New Roman"/>
          <w:sz w:val="13"/>
          <w:szCs w:val="13"/>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36" w:lineRule="exact"/>
        <w:rPr>
          <w:rFonts w:ascii="Times New Roman" w:cs="Times New Roman" w:eastAsia="Times New Roman" w:hAnsi="Times New Roman"/>
          <w:sz w:val="13"/>
          <w:szCs w:val="13"/>
          <w:b w:val="1"/>
          <w:bCs w:val="1"/>
          <w:color w:val="auto"/>
        </w:rPr>
      </w:pPr>
    </w:p>
    <w:p>
      <w:pPr>
        <w:ind w:left="1080" w:hanging="133"/>
        <w:spacing w:after="0"/>
        <w:tabs>
          <w:tab w:leader="none" w:pos="108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PURCHASE RIGHTS; FUNDAMENTAL TRANSACTIONS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640" w:right="659" w:firstLine="693"/>
        <w:spacing w:after="0" w:line="245" w:lineRule="auto"/>
        <w:tabs>
          <w:tab w:leader="none" w:pos="1508"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Rights</w:t>
      </w:r>
      <w:r>
        <w:rPr>
          <w:rFonts w:ascii="Times New Roman" w:cs="Times New Roman" w:eastAsia="Times New Roman" w:hAnsi="Times New Roman"/>
          <w:sz w:val="13"/>
          <w:szCs w:val="13"/>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3"/>
          <w:szCs w:val="13"/>
          <w:b w:val="1"/>
          <w:bCs w:val="1"/>
          <w:i w:val="1"/>
          <w:iCs w:val="1"/>
          <w:color w:val="auto"/>
        </w:rPr>
        <w:t>Purchase Rights</w:t>
      </w:r>
      <w:r>
        <w:rPr>
          <w:rFonts w:ascii="Times New Roman" w:cs="Times New Roman" w:eastAsia="Times New Roman" w:hAnsi="Times New Roman"/>
          <w:sz w:val="13"/>
          <w:szCs w:val="13"/>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15"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Fundamental Transaction</w:t>
      </w:r>
      <w:r>
        <w:rPr>
          <w:rFonts w:ascii="Times New Roman" w:cs="Times New Roman" w:eastAsia="Times New Roman" w:hAnsi="Times New Roman"/>
          <w:sz w:val="13"/>
          <w:szCs w:val="13"/>
          <w:color w:val="auto"/>
        </w:rPr>
        <w:t>. The Company shall not enter into or be party to a Fundamental Transaction unless the Successor Entity assumes in writing all of the obligations of the Company under the Transaction Documents, including this Warrant in accordance with the provisions of this Section 4(b), including, if applicable,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43" w:name="page44"/>
    <w:bookmarkEnd w:id="43"/>
    <w:p>
      <w:pPr>
        <w:ind w:left="640" w:right="659"/>
        <w:spacing w:after="0" w:line="26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Warrant Shares and/or Pre-Funded Warrants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2"/>
          <w:szCs w:val="12"/>
          <w:b w:val="1"/>
          <w:bCs w:val="1"/>
          <w:i w:val="1"/>
          <w:iCs w:val="1"/>
          <w:color w:val="auto"/>
        </w:rPr>
        <w:t>Corporate Event</w:t>
      </w:r>
      <w:r>
        <w:rPr>
          <w:rFonts w:ascii="Times New Roman" w:cs="Times New Roman" w:eastAsia="Times New Roman" w:hAnsi="Times New Roman"/>
          <w:sz w:val="12"/>
          <w:szCs w:val="12"/>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Warrant Shares and/or Pre-Funded Warrants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anything to the contrary, in the event of a Fundamental Transaction, the Company or any Successor Entity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2"/>
          <w:szCs w:val="12"/>
          <w:b w:val="1"/>
          <w:bCs w:val="1"/>
          <w:i w:val="1"/>
          <w:iCs w:val="1"/>
          <w:color w:val="auto"/>
        </w:rPr>
        <w:t>Black Scholes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Value</w:t>
      </w:r>
      <w:r>
        <w:rPr>
          <w:rFonts w:ascii="Times New Roman" w:cs="Times New Roman" w:eastAsia="Times New Roman" w:hAnsi="Times New Roman"/>
          <w:sz w:val="12"/>
          <w:szCs w:val="12"/>
          <w:color w:val="auto"/>
        </w:rPr>
        <w:t>” means the value of this Warrant based on the Black Scholes Option Pricing Model obtained from the “OV” function on Bloomberg determined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Expiration Date, (B) an expected volatility equal to the 100 day volatility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Expiration Date and</w:t>
      </w:r>
    </w:p>
    <w:p>
      <w:pPr>
        <w:spacing w:after="0" w:line="158" w:lineRule="exact"/>
        <w:rPr>
          <w:sz w:val="20"/>
          <w:szCs w:val="20"/>
          <w:color w:val="auto"/>
        </w:rPr>
      </w:pPr>
    </w:p>
    <w:p>
      <w:pPr>
        <w:ind w:left="640" w:right="1159" w:hanging="3"/>
        <w:spacing w:after="0" w:line="287" w:lineRule="auto"/>
        <w:tabs>
          <w:tab w:leader="none" w:pos="833"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zero cost of borrow. The payment of the Black Scholes Value will be made by wire transfer of immediately available funds (or such other consideration) within five (5) Trading Days of the Holder’s election (or, if later, on the effective date of the Fundamental Transaction).</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44" w:name="page45"/>
    <w:bookmarkEnd w:id="44"/>
    <w:p>
      <w:pPr>
        <w:ind w:left="640" w:right="659" w:firstLine="307"/>
        <w:spacing w:after="0" w:line="268" w:lineRule="auto"/>
        <w:tabs>
          <w:tab w:leader="none" w:pos="1075"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NONCIRCUMVENTION</w:t>
      </w:r>
      <w:r>
        <w:rPr>
          <w:rFonts w:ascii="Times New Roman" w:cs="Times New Roman" w:eastAsia="Times New Roman" w:hAnsi="Times New Roman"/>
          <w:sz w:val="12"/>
          <w:szCs w:val="12"/>
          <w:color w:val="auto"/>
        </w:rPr>
        <w:t>. The Company hereby covenants and agrees that the Company will not, by amendment of its Certificate of Incorporation or Bylaws, each as amended to date,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for Warrant Shares,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27" w:lineRule="exact"/>
        <w:rPr>
          <w:rFonts w:ascii="Times New Roman" w:cs="Times New Roman" w:eastAsia="Times New Roman" w:hAnsi="Times New Roman"/>
          <w:sz w:val="12"/>
          <w:szCs w:val="12"/>
          <w:b w:val="1"/>
          <w:bCs w:val="1"/>
          <w:color w:val="auto"/>
        </w:rPr>
      </w:pPr>
    </w:p>
    <w:p>
      <w:pPr>
        <w:ind w:left="640" w:right="739" w:firstLine="307"/>
        <w:spacing w:after="0" w:line="267" w:lineRule="auto"/>
        <w:tabs>
          <w:tab w:leader="none" w:pos="1075"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WARRANT HOLDER NOT DEEMED A STOCKHOLDER</w:t>
      </w:r>
      <w:r>
        <w:rPr>
          <w:rFonts w:ascii="Times New Roman" w:cs="Times New Roman" w:eastAsia="Times New Roman" w:hAnsi="Times New Roman"/>
          <w:sz w:val="12"/>
          <w:szCs w:val="12"/>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that such notices shall be deemed delivered if such notice is available on EDGAR. Without limiting any rights of a Holder to receive cash payments pursuant to Section 1(d) herein, in no event shall the Company be required to net cash settle an exercise of this Warrant.</w:t>
      </w:r>
    </w:p>
    <w:p>
      <w:pPr>
        <w:spacing w:after="0" w:line="129" w:lineRule="exact"/>
        <w:rPr>
          <w:rFonts w:ascii="Times New Roman" w:cs="Times New Roman" w:eastAsia="Times New Roman" w:hAnsi="Times New Roman"/>
          <w:sz w:val="12"/>
          <w:szCs w:val="12"/>
          <w:b w:val="1"/>
          <w:bCs w:val="1"/>
          <w:color w:val="auto"/>
        </w:rPr>
      </w:pPr>
    </w:p>
    <w:p>
      <w:pPr>
        <w:ind w:left="1080" w:hanging="133"/>
        <w:spacing w:after="0"/>
        <w:tabs>
          <w:tab w:leader="none" w:pos="1080" w:val="left"/>
        </w:tabs>
        <w:numPr>
          <w:ilvl w:val="0"/>
          <w:numId w:val="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REISSUANCE OF WARRANTS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b w:val="1"/>
          <w:bCs w:val="1"/>
          <w:color w:val="auto"/>
        </w:rPr>
      </w:pPr>
    </w:p>
    <w:p>
      <w:pPr>
        <w:ind w:left="640" w:right="799" w:firstLine="693"/>
        <w:spacing w:after="0" w:line="275" w:lineRule="auto"/>
        <w:tabs>
          <w:tab w:leader="none" w:pos="150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or Pre-Funded Warrants being transferred by the Holder and, if less than the total number of Warrant Shares or Pre-Funded Warrants then underlying this Warrant is being transferred, a new Warrant (in accordance with Section 7(d)) to the Holder representing the right to purchase the number of Warrant Shares or Pre-Funded Warrants not being transferred.</w:t>
      </w:r>
    </w:p>
    <w:p>
      <w:pPr>
        <w:spacing w:after="0" w:line="119" w:lineRule="exact"/>
        <w:rPr>
          <w:rFonts w:ascii="Times New Roman" w:cs="Times New Roman" w:eastAsia="Times New Roman" w:hAnsi="Times New Roman"/>
          <w:sz w:val="12"/>
          <w:szCs w:val="12"/>
          <w:color w:val="auto"/>
        </w:rPr>
      </w:pPr>
    </w:p>
    <w:p>
      <w:pPr>
        <w:ind w:left="640" w:right="699" w:firstLine="693"/>
        <w:spacing w:after="0" w:line="249" w:lineRule="auto"/>
        <w:tabs>
          <w:tab w:leader="none" w:pos="1515"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Lost, Stolen or Mutilated Warrant</w:t>
      </w:r>
      <w:r>
        <w:rPr>
          <w:rFonts w:ascii="Times New Roman" w:cs="Times New Roman" w:eastAsia="Times New Roman" w:hAnsi="Times New Roman"/>
          <w:sz w:val="13"/>
          <w:szCs w:val="13"/>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or Pre-Funded Warrants then underlying this Warrant.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08"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Exchangeable for Multiple Warrants</w:t>
      </w:r>
      <w:r>
        <w:rPr>
          <w:rFonts w:ascii="Times New Roman" w:cs="Times New Roman" w:eastAsia="Times New Roman" w:hAnsi="Times New Roman"/>
          <w:sz w:val="13"/>
          <w:szCs w:val="13"/>
          <w:color w:val="auto"/>
        </w:rPr>
        <w:t>. This Warrant is exchangeable, upon the surrender hereof by the Holder at the principal office of the Company, for a new Warrant or Warrants (in accordance with Section 7(d)) representing in the aggregate the right to purchase the number of Warrant Shares or Pre-Funded Warrants then underlying this Warrant, and each such new Warrant will represent the right to purchase such portion of such Warrant Shares or Pre-Funded Warrants as is designated by the Holder at the time of such surrender.</w:t>
      </w:r>
    </w:p>
    <w:p>
      <w:pPr>
        <w:spacing w:after="0" w:line="132" w:lineRule="exact"/>
        <w:rPr>
          <w:rFonts w:ascii="Times New Roman" w:cs="Times New Roman" w:eastAsia="Times New Roman" w:hAnsi="Times New Roman"/>
          <w:sz w:val="13"/>
          <w:szCs w:val="13"/>
          <w:color w:val="auto"/>
        </w:rPr>
      </w:pPr>
    </w:p>
    <w:p>
      <w:pPr>
        <w:ind w:left="640" w:right="719" w:firstLine="693"/>
        <w:spacing w:after="0" w:line="286" w:lineRule="auto"/>
        <w:tabs>
          <w:tab w:leader="none" w:pos="1515"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Issuance of New Warrants</w:t>
      </w:r>
      <w:r>
        <w:rPr>
          <w:rFonts w:ascii="Times New Roman" w:cs="Times New Roman" w:eastAsia="Times New Roman" w:hAnsi="Times New Roman"/>
          <w:sz w:val="12"/>
          <w:szCs w:val="12"/>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or Pre-Funded Warrants then underlying this Warrant (or in the case of a new Warrant being issued pursuant to Section 7(a) or Section 7(c), the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45" w:name="page46"/>
    <w:bookmarkEnd w:id="45"/>
    <w:p>
      <w:pPr>
        <w:ind w:left="640" w:right="7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Warrant Shares or Pre-Funded Warrants designated by the Holder which, when added to the number of shares of Common Stock underlying the other new Warrants issued in connection with such issuance, does not exceed the number of Warrant Shares or Pre-Funded Warrants then underlying this Warrant), (iii) shall have an issuance date, as indicated on the face of such new Warrant which is the same as the Issuance Date, and (iv) shall have the same rights and conditions as this Warrant.</w:t>
      </w:r>
    </w:p>
    <w:p>
      <w:pPr>
        <w:spacing w:after="0" w:line="133" w:lineRule="exact"/>
        <w:rPr>
          <w:sz w:val="20"/>
          <w:szCs w:val="20"/>
          <w:color w:val="auto"/>
        </w:rPr>
      </w:pPr>
    </w:p>
    <w:p>
      <w:pPr>
        <w:ind w:left="640" w:right="659" w:firstLine="307"/>
        <w:spacing w:after="0" w:line="246" w:lineRule="auto"/>
        <w:tabs>
          <w:tab w:leader="none" w:pos="1075" w:val="left"/>
        </w:tabs>
        <w:numPr>
          <w:ilvl w:val="0"/>
          <w:numId w:val="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Section 8 prior to 5:00 p.m. (New York time) on a Trading Day, and (E) the next Trading Day after the date of transmission, if delivered by electronic mail to each of the email addresses specified in this Section 8 on a day that is not a Trading Day or later than 5:00 p.m. (New York time) on any Trading Day, and will be delivered and addressed as follows:</w:t>
      </w:r>
    </w:p>
    <w:p>
      <w:pPr>
        <w:spacing w:after="0" w:line="156" w:lineRule="exact"/>
        <w:rPr>
          <w:rFonts w:ascii="Times New Roman" w:cs="Times New Roman" w:eastAsia="Times New Roman" w:hAnsi="Times New Roman"/>
          <w:sz w:val="13"/>
          <w:szCs w:val="13"/>
          <w:b w:val="1"/>
          <w:bCs w:val="1"/>
          <w:color w:val="auto"/>
        </w:rPr>
      </w:pPr>
    </w:p>
    <w:p>
      <w:pPr>
        <w:ind w:left="1640" w:hanging="311"/>
        <w:spacing w:after="0"/>
        <w:tabs>
          <w:tab w:leader="none" w:pos="164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to:</w:t>
      </w:r>
    </w:p>
    <w:p>
      <w:pPr>
        <w:spacing w:after="0" w:line="77" w:lineRule="exact"/>
        <w:rPr>
          <w:rFonts w:ascii="Times New Roman" w:cs="Times New Roman" w:eastAsia="Times New Roman" w:hAnsi="Times New Roman"/>
          <w:sz w:val="13"/>
          <w:szCs w:val="13"/>
          <w:color w:val="auto"/>
        </w:rPr>
      </w:pPr>
    </w:p>
    <w:p>
      <w:pPr>
        <w:ind w:left="16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CalciMedica, Inc.</w:t>
      </w:r>
    </w:p>
    <w:p>
      <w:pPr>
        <w:spacing w:after="0" w:line="15" w:lineRule="exact"/>
        <w:rPr>
          <w:rFonts w:ascii="Times New Roman" w:cs="Times New Roman" w:eastAsia="Times New Roman" w:hAnsi="Times New Roman"/>
          <w:sz w:val="13"/>
          <w:szCs w:val="13"/>
          <w:color w:val="auto"/>
        </w:rPr>
      </w:pPr>
    </w:p>
    <w:p>
      <w:pPr>
        <w:ind w:left="1620" w:right="601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505 Coast Boulevard South Suite 307</w:t>
      </w:r>
    </w:p>
    <w:p>
      <w:pPr>
        <w:ind w:left="16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 Jolla, CA 92037</w:t>
      </w:r>
    </w:p>
    <w:p>
      <w:pPr>
        <w:spacing w:after="0" w:line="2" w:lineRule="exact"/>
        <w:rPr>
          <w:rFonts w:ascii="Times New Roman" w:cs="Times New Roman" w:eastAsia="Times New Roman" w:hAnsi="Times New Roman"/>
          <w:sz w:val="13"/>
          <w:szCs w:val="13"/>
          <w:color w:val="auto"/>
        </w:rPr>
      </w:pPr>
    </w:p>
    <w:p>
      <w:pPr>
        <w:ind w:left="1620" w:right="565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Attn: John Dunn, General Counsel Email:</w:t>
      </w:r>
    </w:p>
    <w:p>
      <w:pPr>
        <w:spacing w:after="0" w:line="135"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the Holder, at such address or other contact information delivered by the Holder to the Company or as is on the books and records</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of the Company.</w:t>
      </w:r>
    </w:p>
    <w:p>
      <w:pPr>
        <w:spacing w:after="0" w:line="141"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2"/>
          <w:szCs w:val="12"/>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w:t>
      </w:r>
    </w:p>
    <w:p>
      <w:pPr>
        <w:spacing w:after="0" w:line="1" w:lineRule="exact"/>
        <w:rPr>
          <w:sz w:val="20"/>
          <w:szCs w:val="20"/>
          <w:color w:val="auto"/>
        </w:rPr>
      </w:pPr>
    </w:p>
    <w:p>
      <w:pPr>
        <w:ind w:left="640" w:right="699" w:hanging="3"/>
        <w:spacing w:after="0" w:line="244" w:lineRule="auto"/>
        <w:tabs>
          <w:tab w:leader="none" w:pos="79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upon any adjustment of the Exercise Price, setting forth in reasonable detail, and certifying, the calculation of such adjustment and (ii) at least fifteen (15) days prior to the date on which the Company closes its books or takes a record with respect to any dividend or distribution upon the shares of Common Stock;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86" w:lineRule="auto"/>
        <w:tabs>
          <w:tab w:leader="none" w:pos="1075" w:val="left"/>
        </w:tabs>
        <w:numPr>
          <w:ilvl w:val="1"/>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AMENDMENT AND WAIVER</w:t>
      </w:r>
      <w:r>
        <w:rPr>
          <w:rFonts w:ascii="Times New Roman" w:cs="Times New Roman" w:eastAsia="Times New Roman" w:hAnsi="Times New Roman"/>
          <w:sz w:val="12"/>
          <w:szCs w:val="12"/>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provided, however, that Section 1(f) may not be amended or waived except as specifically provided therein.</w:t>
      </w:r>
    </w:p>
    <w:p>
      <w:pPr>
        <w:spacing w:after="0" w:line="113" w:lineRule="exact"/>
        <w:rPr>
          <w:rFonts w:ascii="Times New Roman" w:cs="Times New Roman" w:eastAsia="Times New Roman" w:hAnsi="Times New Roman"/>
          <w:sz w:val="12"/>
          <w:szCs w:val="12"/>
          <w:b w:val="1"/>
          <w:bCs w:val="1"/>
          <w:color w:val="auto"/>
        </w:rPr>
      </w:pPr>
    </w:p>
    <w:p>
      <w:pPr>
        <w:ind w:left="640" w:right="659" w:firstLine="307"/>
        <w:spacing w:after="0" w:line="270" w:lineRule="auto"/>
        <w:tabs>
          <w:tab w:leader="none" w:pos="1139" w:val="left"/>
        </w:tabs>
        <w:numPr>
          <w:ilvl w:val="1"/>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GOVERNING LAW; JURISDICTION; JURY TRIAL</w:t>
      </w:r>
      <w:r>
        <w:rPr>
          <w:rFonts w:ascii="Times New Roman" w:cs="Times New Roman" w:eastAsia="Times New Roman" w:hAnsi="Times New Roman"/>
          <w:sz w:val="12"/>
          <w:szCs w:val="12"/>
          <w:color w:val="auto"/>
        </w:rPr>
        <w:t>.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46" w:name="page47"/>
    <w:bookmarkEnd w:id="46"/>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2"/>
          <w:szCs w:val="12"/>
          <w:b w:val="1"/>
          <w:bCs w:val="1"/>
          <w:color w:val="auto"/>
        </w:rPr>
        <w:t>THE COMPANY HEREBY IRREVOCABLY WAIVES ANY RIGHT IT MAY HAVE, AND AGREES</w:t>
      </w:r>
    </w:p>
    <w:p>
      <w:pPr>
        <w:spacing w:after="0" w:line="1" w:lineRule="exact"/>
        <w:rPr>
          <w:sz w:val="20"/>
          <w:szCs w:val="20"/>
          <w:color w:val="auto"/>
        </w:rPr>
      </w:pPr>
    </w:p>
    <w:p>
      <w:pPr>
        <w:ind w:left="640" w:right="879"/>
        <w:spacing w:after="0" w:line="246" w:lineRule="auto"/>
        <w:rPr>
          <w:sz w:val="20"/>
          <w:szCs w:val="20"/>
          <w:color w:val="auto"/>
        </w:rPr>
      </w:pPr>
      <w:r>
        <w:rPr>
          <w:rFonts w:ascii="Times New Roman" w:cs="Times New Roman" w:eastAsia="Times New Roman" w:hAnsi="Times New Roman"/>
          <w:sz w:val="13"/>
          <w:szCs w:val="13"/>
          <w:b w:val="1"/>
          <w:bCs w:val="1"/>
          <w:color w:val="auto"/>
        </w:rPr>
        <w:t>NOT TO REQUEST, A JURY TRIAL FOR THE ADJUDICATION OF ANY DISPUTE HEREUNDER OR IN CONNECTION WITH OR ARISING OUT OF THIS WARRANT OR ANY TRANSACTION CONTEMPLATED HEREBY.</w:t>
      </w:r>
    </w:p>
    <w:p>
      <w:pPr>
        <w:spacing w:after="0" w:line="136" w:lineRule="exact"/>
        <w:rPr>
          <w:sz w:val="20"/>
          <w:szCs w:val="20"/>
          <w:color w:val="auto"/>
        </w:rPr>
      </w:pPr>
    </w:p>
    <w:p>
      <w:pPr>
        <w:ind w:left="640" w:right="839" w:firstLine="307"/>
        <w:spacing w:after="0" w:line="274" w:lineRule="auto"/>
        <w:tabs>
          <w:tab w:leader="none" w:pos="1132" w:val="left"/>
        </w:tabs>
        <w:numPr>
          <w:ilvl w:val="1"/>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DISPUTE RESOLUTION</w:t>
      </w:r>
      <w:r>
        <w:rPr>
          <w:rFonts w:ascii="Times New Roman" w:cs="Times New Roman" w:eastAsia="Times New Roman" w:hAnsi="Times New Roman"/>
          <w:sz w:val="12"/>
          <w:szCs w:val="12"/>
          <w:color w:val="auto"/>
        </w:rPr>
        <w:t>. In the case of a dispute as to the determination of the Exercise Price or the arithmetic calculation of the Warrant Shares or Pre-Funded Warrants, the Company shall submit the disputed determinations or arithmetic calculations via electronic mail within two</w:t>
      </w:r>
    </w:p>
    <w:p>
      <w:pPr>
        <w:spacing w:after="0" w:line="1" w:lineRule="exact"/>
        <w:rPr>
          <w:rFonts w:ascii="Times New Roman" w:cs="Times New Roman" w:eastAsia="Times New Roman" w:hAnsi="Times New Roman"/>
          <w:sz w:val="12"/>
          <w:szCs w:val="12"/>
          <w:b w:val="1"/>
          <w:bCs w:val="1"/>
          <w:color w:val="auto"/>
        </w:rPr>
      </w:pPr>
    </w:p>
    <w:p>
      <w:pPr>
        <w:ind w:left="640" w:right="819" w:hanging="3"/>
        <w:spacing w:after="0" w:line="263" w:lineRule="auto"/>
        <w:tabs>
          <w:tab w:leader="none" w:pos="819"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of receipt of the Exercise Notice or other event giving rise to such dispute, as the case may be, to the Holder. If the Holder and the Company are unable to agree upon such determination or calculation of the Exercise Price or the Warrant Shares or Pre-Funded Warrants within three</w:t>
      </w:r>
    </w:p>
    <w:p>
      <w:pPr>
        <w:ind w:left="820" w:hanging="183"/>
        <w:spacing w:after="0"/>
        <w:tabs>
          <w:tab w:leader="none" w:pos="8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of such disputed determination or arithmetic calculation being submitted to the Holder, then the Company shall, within two</w:t>
      </w:r>
    </w:p>
    <w:p>
      <w:pPr>
        <w:spacing w:after="0" w:line="2" w:lineRule="exact"/>
        <w:rPr>
          <w:sz w:val="20"/>
          <w:szCs w:val="20"/>
          <w:color w:val="auto"/>
        </w:rPr>
      </w:pPr>
    </w:p>
    <w:p>
      <w:pPr>
        <w:ind w:left="640" w:right="719" w:hanging="3"/>
        <w:spacing w:after="0" w:line="244" w:lineRule="auto"/>
        <w:tabs>
          <w:tab w:leader="none" w:pos="81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submit via electronic mail (a) the disputed determination of the Exercise Price to an independent, reputable investment bank selected by the Company and approved by the Holder or (b) the disputed arithmetic calculation of the Warrant Shares or Pre-Funded Warrants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39" w:val="left"/>
        </w:tabs>
        <w:numPr>
          <w:ilvl w:val="1"/>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REMEDIES, OTHER OBLIGATIONS, BREACHES AND INJUNCTIVE RELIEF. The remedies</w:t>
      </w:r>
      <w:r>
        <w:rPr>
          <w:rFonts w:ascii="Times New Roman" w:cs="Times New Roman" w:eastAsia="Times New Roman" w:hAnsi="Times New Roman"/>
          <w:sz w:val="13"/>
          <w:szCs w:val="13"/>
          <w:color w:val="auto"/>
        </w:rPr>
        <w:t xml:space="preserve">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36" w:lineRule="exact"/>
        <w:rPr>
          <w:rFonts w:ascii="Times New Roman" w:cs="Times New Roman" w:eastAsia="Times New Roman" w:hAnsi="Times New Roman"/>
          <w:sz w:val="13"/>
          <w:szCs w:val="13"/>
          <w:b w:val="1"/>
          <w:bCs w:val="1"/>
          <w:color w:val="auto"/>
        </w:rPr>
      </w:pPr>
    </w:p>
    <w:p>
      <w:pPr>
        <w:ind w:left="640" w:right="919" w:firstLine="307"/>
        <w:spacing w:after="0" w:line="267" w:lineRule="auto"/>
        <w:tabs>
          <w:tab w:leader="none" w:pos="1139" w:val="left"/>
        </w:tabs>
        <w:numPr>
          <w:ilvl w:val="1"/>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This Warrant and the Warrant Shares or Pre-Funded Warrants may be offered for sale, sold, transferred, pledged or assigned without the consent of the Company.</w:t>
      </w:r>
    </w:p>
    <w:p>
      <w:pPr>
        <w:spacing w:after="0" w:line="122" w:lineRule="exact"/>
        <w:rPr>
          <w:rFonts w:ascii="Times New Roman" w:cs="Times New Roman" w:eastAsia="Times New Roman" w:hAnsi="Times New Roman"/>
          <w:sz w:val="13"/>
          <w:szCs w:val="13"/>
          <w:b w:val="1"/>
          <w:bCs w:val="1"/>
          <w:color w:val="auto"/>
        </w:rPr>
      </w:pPr>
    </w:p>
    <w:p>
      <w:pPr>
        <w:ind w:left="640" w:right="679" w:firstLine="307"/>
        <w:spacing w:after="0" w:line="268" w:lineRule="auto"/>
        <w:tabs>
          <w:tab w:leader="none" w:pos="1139" w:val="left"/>
        </w:tabs>
        <w:numPr>
          <w:ilvl w:val="1"/>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SEVERABILITY; CONSTRUCTION; HEADINGS</w:t>
      </w:r>
      <w:r>
        <w:rPr>
          <w:rFonts w:ascii="Times New Roman" w:cs="Times New Roman" w:eastAsia="Times New Roman" w:hAnsi="Times New Roman"/>
          <w:sz w:val="12"/>
          <w:szCs w:val="12"/>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47" w:name="page48"/>
    <w:bookmarkEnd w:id="47"/>
    <w:p>
      <w:pPr>
        <w:ind w:left="640" w:right="679" w:firstLine="307"/>
        <w:spacing w:after="0" w:line="247" w:lineRule="auto"/>
        <w:tabs>
          <w:tab w:leader="none" w:pos="1139" w:val="left"/>
        </w:tabs>
        <w:numPr>
          <w:ilvl w:val="1"/>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DISCLOSURE</w:t>
      </w:r>
      <w:r>
        <w:rPr>
          <w:rFonts w:ascii="Times New Roman" w:cs="Times New Roman" w:eastAsia="Times New Roman" w:hAnsi="Times New Roman"/>
          <w:sz w:val="13"/>
          <w:szCs w:val="13"/>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36" w:lineRule="exact"/>
        <w:rPr>
          <w:rFonts w:ascii="Times New Roman" w:cs="Times New Roman" w:eastAsia="Times New Roman" w:hAnsi="Times New Roman"/>
          <w:sz w:val="13"/>
          <w:szCs w:val="13"/>
          <w:b w:val="1"/>
          <w:bCs w:val="1"/>
          <w:color w:val="auto"/>
        </w:rPr>
      </w:pPr>
    </w:p>
    <w:p>
      <w:pPr>
        <w:ind w:left="1140" w:hanging="193"/>
        <w:spacing w:after="0"/>
        <w:tabs>
          <w:tab w:leader="none" w:pos="1140" w:val="left"/>
        </w:tabs>
        <w:numPr>
          <w:ilvl w:val="1"/>
          <w:numId w:val="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purposes of this Warrant, the following terms shall have the following meanings:</w:t>
      </w:r>
    </w:p>
    <w:p>
      <w:pPr>
        <w:spacing w:after="0" w:line="151" w:lineRule="exact"/>
        <w:rPr>
          <w:rFonts w:ascii="Times New Roman" w:cs="Times New Roman" w:eastAsia="Times New Roman" w:hAnsi="Times New Roman"/>
          <w:sz w:val="13"/>
          <w:szCs w:val="13"/>
          <w:b w:val="1"/>
          <w:bCs w:val="1"/>
          <w:color w:val="auto"/>
        </w:rPr>
      </w:pPr>
    </w:p>
    <w:p>
      <w:pPr>
        <w:ind w:left="640" w:right="799" w:firstLine="693"/>
        <w:spacing w:after="0" w:line="248" w:lineRule="auto"/>
        <w:tabs>
          <w:tab w:leader="none" w:pos="1508" w:val="left"/>
        </w:tabs>
        <w:numPr>
          <w:ilvl w:val="2"/>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50" w:lineRule="auto"/>
        <w:tabs>
          <w:tab w:leader="none" w:pos="1515" w:val="left"/>
        </w:tabs>
        <w:numPr>
          <w:ilvl w:val="2"/>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Attribution Parties</w:t>
      </w:r>
      <w:r>
        <w:rPr>
          <w:rFonts w:ascii="Times New Roman" w:cs="Times New Roman" w:eastAsia="Times New Roman" w:hAnsi="Times New Roman"/>
          <w:sz w:val="13"/>
          <w:szCs w:val="13"/>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Common Stock would or could be aggregated with the Holder’s and/or any other Attribution Parties for purposes of Section 13(d) or Section 16 of the 1934 Act. For clarity, the purpose of the foregoing is to subject collectively the Holder and all other Attribution Parties to the Maximum Percentage.</w:t>
      </w:r>
    </w:p>
    <w:p>
      <w:pPr>
        <w:spacing w:after="0" w:line="131" w:lineRule="exact"/>
        <w:rPr>
          <w:rFonts w:ascii="Times New Roman" w:cs="Times New Roman" w:eastAsia="Times New Roman" w:hAnsi="Times New Roman"/>
          <w:sz w:val="13"/>
          <w:szCs w:val="13"/>
          <w:color w:val="auto"/>
        </w:rPr>
      </w:pPr>
    </w:p>
    <w:p>
      <w:pPr>
        <w:ind w:left="640" w:right="879" w:firstLine="693"/>
        <w:spacing w:after="0" w:line="270" w:lineRule="auto"/>
        <w:tabs>
          <w:tab w:leader="none" w:pos="1508" w:val="left"/>
        </w:tabs>
        <w:numPr>
          <w:ilvl w:val="2"/>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other than Saturday, Sunday or other day on which commercial banks in The City of New York are authorized or required by law to remain closed.</w:t>
      </w:r>
    </w:p>
    <w:p>
      <w:pPr>
        <w:spacing w:after="0" w:line="118" w:lineRule="exact"/>
        <w:rPr>
          <w:rFonts w:ascii="Times New Roman" w:cs="Times New Roman" w:eastAsia="Times New Roman" w:hAnsi="Times New Roman"/>
          <w:sz w:val="13"/>
          <w:szCs w:val="13"/>
          <w:color w:val="auto"/>
        </w:rPr>
      </w:pPr>
    </w:p>
    <w:p>
      <w:pPr>
        <w:jc w:val="both"/>
        <w:ind w:left="640" w:right="739" w:firstLine="693"/>
        <w:spacing w:after="0" w:line="268" w:lineRule="auto"/>
        <w:tabs>
          <w:tab w:leader="none" w:pos="1515" w:val="left"/>
        </w:tabs>
        <w:numPr>
          <w:ilvl w:val="2"/>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w:t>
      </w:r>
      <w:r>
        <w:rPr>
          <w:rFonts w:ascii="Times New Roman" w:cs="Times New Roman" w:eastAsia="Times New Roman" w:hAnsi="Times New Roman"/>
          <w:sz w:val="12"/>
          <w:szCs w:val="12"/>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w:t>
      </w:r>
    </w:p>
    <w:p>
      <w:pPr>
        <w:spacing w:after="0" w:line="2" w:lineRule="exact"/>
        <w:rPr>
          <w:rFonts w:ascii="Times New Roman" w:cs="Times New Roman" w:eastAsia="Times New Roman" w:hAnsi="Times New Roman"/>
          <w:sz w:val="12"/>
          <w:szCs w:val="12"/>
          <w:color w:val="auto"/>
        </w:rPr>
      </w:pPr>
    </w:p>
    <w:p>
      <w:pPr>
        <w:ind w:left="640" w:right="719" w:hanging="3"/>
        <w:spacing w:after="0" w:line="263" w:lineRule="auto"/>
        <w:tabs>
          <w:tab w:leader="none" w:pos="826"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w:t>
      </w:r>
    </w:p>
    <w:p>
      <w:pPr>
        <w:spacing w:after="0" w:line="1" w:lineRule="exact"/>
        <w:rPr>
          <w:rFonts w:ascii="Times New Roman" w:cs="Times New Roman" w:eastAsia="Times New Roman" w:hAnsi="Times New Roman"/>
          <w:sz w:val="12"/>
          <w:szCs w:val="12"/>
          <w:color w:val="auto"/>
        </w:rPr>
      </w:pPr>
    </w:p>
    <w:p>
      <w:pPr>
        <w:ind w:left="640" w:right="719" w:hanging="3"/>
        <w:spacing w:after="0" w:line="275" w:lineRule="auto"/>
        <w:tabs>
          <w:tab w:leader="none" w:pos="819"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17" w:lineRule="exact"/>
        <w:rPr>
          <w:rFonts w:ascii="Times New Roman" w:cs="Times New Roman" w:eastAsia="Times New Roman" w:hAnsi="Times New Roman"/>
          <w:sz w:val="12"/>
          <w:szCs w:val="12"/>
          <w:color w:val="auto"/>
        </w:rPr>
      </w:pPr>
    </w:p>
    <w:p>
      <w:pPr>
        <w:ind w:left="640" w:right="739" w:firstLine="693"/>
        <w:spacing w:after="0" w:line="248" w:lineRule="auto"/>
        <w:tabs>
          <w:tab w:leader="none" w:pos="1508" w:val="left"/>
        </w:tabs>
        <w:numPr>
          <w:ilvl w:val="2"/>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Sale Price</w:t>
      </w:r>
      <w:r>
        <w:rPr>
          <w:rFonts w:ascii="Times New Roman" w:cs="Times New Roman" w:eastAsia="Times New Roman" w:hAnsi="Times New Roman"/>
          <w:sz w:val="13"/>
          <w:szCs w:val="13"/>
          <w:color w:val="auto"/>
        </w:rPr>
        <w:t>” means, for any security as of any date, the last trade price for such security on the Principal Market for such security, as reported by Bloomberg Financial Markets, or, if such Principal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48" w:name="page49"/>
    <w:bookmarkEnd w:id="48"/>
    <w:p>
      <w:pPr>
        <w:ind w:left="640" w:right="73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17" w:lineRule="exact"/>
        <w:rPr>
          <w:sz w:val="20"/>
          <w:szCs w:val="20"/>
          <w:color w:val="auto"/>
        </w:rPr>
      </w:pPr>
    </w:p>
    <w:p>
      <w:pPr>
        <w:ind w:left="640" w:right="899" w:firstLine="693"/>
        <w:spacing w:after="0" w:line="270" w:lineRule="auto"/>
        <w:tabs>
          <w:tab w:leader="none" w:pos="1494"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means (i) the Company’s Common Stock, par value $0.0001 per share, and (ii) any capital stock into which such Common Stock shall have been changed or any capital stock resulting from a reclassification of such Common Stock.</w:t>
      </w:r>
    </w:p>
    <w:p>
      <w:pPr>
        <w:spacing w:after="0" w:line="118" w:lineRule="exact"/>
        <w:rPr>
          <w:rFonts w:ascii="Times New Roman" w:cs="Times New Roman" w:eastAsia="Times New Roman" w:hAnsi="Times New Roman"/>
          <w:sz w:val="13"/>
          <w:szCs w:val="13"/>
          <w:color w:val="auto"/>
        </w:rPr>
      </w:pPr>
    </w:p>
    <w:p>
      <w:pPr>
        <w:ind w:left="640" w:right="699" w:firstLine="693"/>
        <w:spacing w:after="0" w:line="257" w:lineRule="auto"/>
        <w:tabs>
          <w:tab w:leader="none" w:pos="1515"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Stock Equivalents</w:t>
      </w:r>
      <w:r>
        <w:rPr>
          <w:rFonts w:ascii="Times New Roman" w:cs="Times New Roman" w:eastAsia="Times New Roman" w:hAnsi="Times New Roman"/>
          <w:sz w:val="13"/>
          <w:szCs w:val="13"/>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26" w:lineRule="exact"/>
        <w:rPr>
          <w:rFonts w:ascii="Times New Roman" w:cs="Times New Roman" w:eastAsia="Times New Roman" w:hAnsi="Times New Roman"/>
          <w:sz w:val="13"/>
          <w:szCs w:val="13"/>
          <w:color w:val="auto"/>
        </w:rPr>
      </w:pPr>
    </w:p>
    <w:p>
      <w:pPr>
        <w:ind w:left="640" w:right="919" w:firstLine="693"/>
        <w:spacing w:after="0" w:line="270" w:lineRule="auto"/>
        <w:tabs>
          <w:tab w:leader="none" w:pos="1515"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Convertible Securities</w:t>
      </w:r>
      <w:r>
        <w:rPr>
          <w:rFonts w:ascii="Times New Roman" w:cs="Times New Roman" w:eastAsia="Times New Roman" w:hAnsi="Times New Roman"/>
          <w:sz w:val="13"/>
          <w:szCs w:val="13"/>
          <w:color w:val="auto"/>
        </w:rPr>
        <w:t>” means any stock or securities (other than Options) directly or indirectly convertible into or exercisable or exchangeable for shares of Common Stock.</w:t>
      </w:r>
    </w:p>
    <w:p>
      <w:pPr>
        <w:spacing w:after="0" w:line="118" w:lineRule="exact"/>
        <w:rPr>
          <w:rFonts w:ascii="Times New Roman" w:cs="Times New Roman" w:eastAsia="Times New Roman" w:hAnsi="Times New Roman"/>
          <w:sz w:val="13"/>
          <w:szCs w:val="13"/>
          <w:color w:val="auto"/>
        </w:rPr>
      </w:pPr>
    </w:p>
    <w:p>
      <w:pPr>
        <w:ind w:left="640" w:right="999" w:firstLine="693"/>
        <w:spacing w:after="0" w:line="270" w:lineRule="auto"/>
        <w:tabs>
          <w:tab w:leader="none" w:pos="1487"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Eligible Market</w:t>
      </w:r>
      <w:r>
        <w:rPr>
          <w:rFonts w:ascii="Times New Roman" w:cs="Times New Roman" w:eastAsia="Times New Roman" w:hAnsi="Times New Roman"/>
          <w:sz w:val="13"/>
          <w:szCs w:val="13"/>
          <w:color w:val="auto"/>
        </w:rPr>
        <w:t>” means The Nasdaq Capital Market, the NYSE American LLC, The Nasdaq Global Select Market, The Nasdaq Global Market or The New York Stock Exchange, Inc.</w:t>
      </w:r>
    </w:p>
    <w:p>
      <w:pPr>
        <w:spacing w:after="0" w:line="118"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Expiration Date</w:t>
      </w:r>
      <w:r>
        <w:rPr>
          <w:rFonts w:ascii="Times New Roman" w:cs="Times New Roman" w:eastAsia="Times New Roman" w:hAnsi="Times New Roman"/>
          <w:sz w:val="13"/>
          <w:szCs w:val="13"/>
          <w:color w:val="auto"/>
        </w:rPr>
        <w:t>” means June 25, 2031.</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66" w:lineRule="auto"/>
        <w:tabs>
          <w:tab w:leader="none" w:pos="1515"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Fundamental Transaction</w:t>
      </w:r>
      <w:r>
        <w:rPr>
          <w:rFonts w:ascii="Times New Roman" w:cs="Times New Roman" w:eastAsia="Times New Roman" w:hAnsi="Times New Roman"/>
          <w:sz w:val="12"/>
          <w:szCs w:val="12"/>
          <w:color w:val="auto"/>
        </w:rPr>
        <w:t>” means (A) that the Company shall, directly or indirectly, including through subsidiaries, Affiliates or otherwise, in one or more related transactions, (i) consolidate or merge with or into another Subject Entity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or (ii) sell, assign, transfer, convey or otherwise dispose of all or substantially all of the properties or assets of the Company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the greater of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w:t>
      </w:r>
    </w:p>
    <w:p>
      <w:pPr>
        <w:ind w:left="640" w:right="659" w:hanging="3"/>
        <w:spacing w:after="0" w:line="263" w:lineRule="auto"/>
        <w:tabs>
          <w:tab w:leader="none" w:pos="854"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consummate a stock purchase agreement or other business combination (including, without limitation, a reorganization, recapitalization, spin-off or scheme of arrangement) with one or more Subject Entities whereby all such Subject Entities, individually or in the aggregate, acquire at the closing thereof, the greater of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(B) that the Company shall, directly or indirectly, including through subsidiaries, Affiliates or otherwise, in one or more related transactions, approve such transaction(s) in which any Subject Entity individually or the Subject Entities in the aggregate become the “beneficial owner” (as defined in Rule 13d-3 under the 1934 Act) at the closing thereof,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 similar transaction, of</w:t>
      </w:r>
    </w:p>
    <w:p>
      <w:pPr>
        <w:spacing w:after="0" w:line="4"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19"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greater of (I) at least 50% of the aggregate voting power represented by issued and outstanding shares of Common Stock, and (II) at least 50% of the aggregate voting power represented by issued and outstanding shares of Common Stock not held by all such Subject Entities as of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49" w:name="page50"/>
    <w:bookmarkEnd w:id="49"/>
    <w:p>
      <w:pPr>
        <w:ind w:left="640" w:right="7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Subscription Date calculated as if any shares of Common Stock held by all such Subject Entities were not outstanding, or (y) a percentage of the aggregate voting power represented by issued and outstanding shares of Common Stock or other equity securities of the Company sufficient to allow such Subject Entities to effect a statutory short form merger or other transaction requiring all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with the purpose of circumventing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37" w:lineRule="exact"/>
        <w:rPr>
          <w:sz w:val="20"/>
          <w:szCs w:val="20"/>
          <w:color w:val="auto"/>
        </w:rPr>
      </w:pPr>
    </w:p>
    <w:p>
      <w:pPr>
        <w:ind w:left="1480" w:hanging="147"/>
        <w:spacing w:after="0"/>
        <w:tabs>
          <w:tab w:leader="none" w:pos="14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Group</w:t>
      </w:r>
      <w:r>
        <w:rPr>
          <w:rFonts w:ascii="Times New Roman" w:cs="Times New Roman" w:eastAsia="Times New Roman" w:hAnsi="Times New Roman"/>
          <w:sz w:val="13"/>
          <w:szCs w:val="13"/>
          <w:color w:val="auto"/>
        </w:rPr>
        <w:t>” shall have the meaning ascribed to it in Section 13(d) of the 1934 Act, and all related rules, regulations and jurisprudence.</w:t>
      </w:r>
    </w:p>
    <w:p>
      <w:pPr>
        <w:spacing w:after="0" w:line="153"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Options</w:t>
      </w:r>
      <w:r>
        <w:rPr>
          <w:rFonts w:ascii="Times New Roman" w:cs="Times New Roman" w:eastAsia="Times New Roman" w:hAnsi="Times New Roman"/>
          <w:sz w:val="13"/>
          <w:szCs w:val="13"/>
          <w:color w:val="auto"/>
        </w:rPr>
        <w:t>” means any rights, warrants or options to subscribe for or purchase shares of Common Stock or Convertible Securities.</w:t>
      </w:r>
    </w:p>
    <w:p>
      <w:pPr>
        <w:spacing w:after="0" w:line="153" w:lineRule="exact"/>
        <w:rPr>
          <w:rFonts w:ascii="Times New Roman" w:cs="Times New Roman" w:eastAsia="Times New Roman" w:hAnsi="Times New Roman"/>
          <w:sz w:val="13"/>
          <w:szCs w:val="13"/>
          <w:color w:val="auto"/>
        </w:rPr>
      </w:pPr>
    </w:p>
    <w:p>
      <w:pPr>
        <w:ind w:left="640" w:right="899" w:firstLine="693"/>
        <w:spacing w:after="0" w:line="288" w:lineRule="auto"/>
        <w:tabs>
          <w:tab w:leader="none" w:pos="1515"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Parent Entity</w:t>
      </w:r>
      <w:r>
        <w:rPr>
          <w:rFonts w:ascii="Times New Roman" w:cs="Times New Roman" w:eastAsia="Times New Roman" w:hAnsi="Times New Roman"/>
          <w:sz w:val="12"/>
          <w:szCs w:val="12"/>
          <w:color w:val="auto"/>
        </w:rPr>
        <w:t>” of a Person means an entity that, directly or indirectly, controls the applicable Person, including such entity whose common stock or equivalent equity security is quoted or listed on an Eligible Market, or, if there is more than one such Person or such entity, such Person or entity with the largest public market capitalization as of the date of consummation of the Fundamental Transaction or Change of Control.</w:t>
      </w:r>
    </w:p>
    <w:p>
      <w:pPr>
        <w:spacing w:after="0" w:line="109" w:lineRule="exact"/>
        <w:rPr>
          <w:rFonts w:ascii="Times New Roman" w:cs="Times New Roman" w:eastAsia="Times New Roman" w:hAnsi="Times New Roman"/>
          <w:sz w:val="12"/>
          <w:szCs w:val="12"/>
          <w:color w:val="auto"/>
        </w:rPr>
      </w:pPr>
    </w:p>
    <w:p>
      <w:pPr>
        <w:ind w:left="640" w:right="959" w:firstLine="693"/>
        <w:spacing w:after="0" w:line="270" w:lineRule="auto"/>
        <w:tabs>
          <w:tab w:leader="none" w:pos="1515"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a limited liability company, a partnership, a joint venture, a corporation, a trust, an unincorporated organization, any other entity and a government or any department or agency thereof.</w:t>
      </w:r>
    </w:p>
    <w:p>
      <w:pPr>
        <w:spacing w:after="0" w:line="118" w:lineRule="exact"/>
        <w:rPr>
          <w:rFonts w:ascii="Times New Roman" w:cs="Times New Roman" w:eastAsia="Times New Roman" w:hAnsi="Times New Roman"/>
          <w:sz w:val="13"/>
          <w:szCs w:val="13"/>
          <w:color w:val="auto"/>
        </w:rPr>
      </w:pPr>
    </w:p>
    <w:p>
      <w:pPr>
        <w:ind w:left="640" w:right="719" w:firstLine="693"/>
        <w:spacing w:after="0" w:line="270" w:lineRule="auto"/>
        <w:tabs>
          <w:tab w:leader="none" w:pos="1515"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Principal Market</w:t>
      </w:r>
      <w:r>
        <w:rPr>
          <w:rFonts w:ascii="Times New Roman" w:cs="Times New Roman" w:eastAsia="Times New Roman" w:hAnsi="Times New Roman"/>
          <w:sz w:val="13"/>
          <w:szCs w:val="13"/>
          <w:color w:val="auto"/>
        </w:rPr>
        <w:t>” means the national securities exchange or other trading market on which the Common Stock is primarily listed on and quoted for trading, which, as of the Issuance Date, is The Nasdaq Capital Market.</w:t>
      </w:r>
    </w:p>
    <w:p>
      <w:pPr>
        <w:spacing w:after="0" w:line="118" w:lineRule="exact"/>
        <w:rPr>
          <w:rFonts w:ascii="Times New Roman" w:cs="Times New Roman" w:eastAsia="Times New Roman" w:hAnsi="Times New Roman"/>
          <w:sz w:val="13"/>
          <w:szCs w:val="13"/>
          <w:color w:val="auto"/>
        </w:rPr>
      </w:pPr>
    </w:p>
    <w:p>
      <w:pPr>
        <w:ind w:left="640" w:right="999" w:firstLine="693"/>
        <w:spacing w:after="0" w:line="270" w:lineRule="auto"/>
        <w:tabs>
          <w:tab w:leader="none" w:pos="1515"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Required Holders</w:t>
      </w:r>
      <w:r>
        <w:rPr>
          <w:rFonts w:ascii="Times New Roman" w:cs="Times New Roman" w:eastAsia="Times New Roman" w:hAnsi="Times New Roman"/>
          <w:sz w:val="13"/>
          <w:szCs w:val="13"/>
          <w:color w:val="auto"/>
        </w:rPr>
        <w:t>” means the holders of this Warrant and/or the Other Warrants representing at least a majority of the shares of Common Stock underlying this Warrant and the Other Warrants then outstanding.</w:t>
      </w:r>
    </w:p>
    <w:p>
      <w:pPr>
        <w:spacing w:after="0" w:line="118" w:lineRule="exact"/>
        <w:rPr>
          <w:rFonts w:ascii="Times New Roman" w:cs="Times New Roman" w:eastAsia="Times New Roman" w:hAnsi="Times New Roman"/>
          <w:sz w:val="13"/>
          <w:szCs w:val="13"/>
          <w:color w:val="auto"/>
        </w:rPr>
      </w:pPr>
    </w:p>
    <w:p>
      <w:pPr>
        <w:jc w:val="both"/>
        <w:ind w:left="640" w:right="739" w:firstLine="693"/>
        <w:spacing w:after="0" w:line="257" w:lineRule="auto"/>
        <w:tabs>
          <w:tab w:leader="none" w:pos="149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Standard Settlement Period</w:t>
      </w:r>
      <w:r>
        <w:rPr>
          <w:rFonts w:ascii="Times New Roman" w:cs="Times New Roman" w:eastAsia="Times New Roman" w:hAnsi="Times New Roman"/>
          <w:sz w:val="13"/>
          <w:szCs w:val="13"/>
          <w:color w:val="auto"/>
        </w:rPr>
        <w:t xml:space="preserve">” means the standard settlement period, expressed in a number of Trading Days, for the Principal Market with respect to the Common Stock that is in effect on the date of delivery of an applicable Exercise Notice (as determined in accordance with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hereof).</w:t>
      </w:r>
    </w:p>
    <w:p>
      <w:pPr>
        <w:spacing w:after="0" w:line="12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Subject Entity</w:t>
      </w:r>
      <w:r>
        <w:rPr>
          <w:rFonts w:ascii="Times New Roman" w:cs="Times New Roman" w:eastAsia="Times New Roman" w:hAnsi="Times New Roman"/>
          <w:sz w:val="13"/>
          <w:szCs w:val="13"/>
          <w:color w:val="auto"/>
        </w:rPr>
        <w:t>” means any Person or Group or any Affiliate or associate of any such Person or Group.</w:t>
      </w:r>
    </w:p>
    <w:p>
      <w:pPr>
        <w:spacing w:after="0" w:line="153" w:lineRule="exact"/>
        <w:rPr>
          <w:rFonts w:ascii="Times New Roman" w:cs="Times New Roman" w:eastAsia="Times New Roman" w:hAnsi="Times New Roman"/>
          <w:sz w:val="13"/>
          <w:szCs w:val="13"/>
          <w:color w:val="auto"/>
        </w:rPr>
      </w:pPr>
    </w:p>
    <w:p>
      <w:pPr>
        <w:jc w:val="both"/>
        <w:ind w:left="640" w:right="899" w:firstLine="693"/>
        <w:spacing w:after="0" w:line="257" w:lineRule="auto"/>
        <w:tabs>
          <w:tab w:leader="none" w:pos="1487"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Successor Entity</w:t>
      </w:r>
      <w:r>
        <w:rPr>
          <w:rFonts w:ascii="Times New Roman" w:cs="Times New Roman" w:eastAsia="Times New Roman" w:hAnsi="Times New Roman"/>
          <w:sz w:val="13"/>
          <w:szCs w:val="13"/>
          <w:color w:val="auto"/>
        </w:rPr>
        <w:t>” means a Person formed by, resulting from or surviving any Fundamental Transaction or Change of Control or a Person which such Fundamental Transaction or Change of Control shall have been entered into or its Parent Entity if the holders of Common Stock receive securities of such Parent Entity in such Fundamental Transaction or Change of Control.</w:t>
      </w:r>
    </w:p>
    <w:p>
      <w:pPr>
        <w:spacing w:after="0" w:line="126"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means any weekday on which the Principal Market is normally open for trading.</w:t>
      </w:r>
    </w:p>
    <w:p>
      <w:pPr>
        <w:spacing w:after="0" w:line="153" w:lineRule="exact"/>
        <w:rPr>
          <w:rFonts w:ascii="Times New Roman" w:cs="Times New Roman" w:eastAsia="Times New Roman" w:hAnsi="Times New Roman"/>
          <w:sz w:val="13"/>
          <w:szCs w:val="13"/>
          <w:color w:val="auto"/>
        </w:rPr>
      </w:pPr>
    </w:p>
    <w:p>
      <w:pPr>
        <w:ind w:left="640" w:right="659" w:firstLine="693"/>
        <w:spacing w:after="0" w:line="257" w:lineRule="auto"/>
        <w:tabs>
          <w:tab w:leader="none" w:pos="1515"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Transaction Documents</w:t>
      </w:r>
      <w:r>
        <w:rPr>
          <w:rFonts w:ascii="Times New Roman" w:cs="Times New Roman" w:eastAsia="Times New Roman" w:hAnsi="Times New Roman"/>
          <w:sz w:val="13"/>
          <w:szCs w:val="13"/>
          <w:color w:val="auto"/>
        </w:rPr>
        <w:t>” means this Warrant, that certain Securities Purchase Agreement, dated June 23, 2026, by and between the Company and the purchasers set forth therein, and any agreement entered into by and between the Company and the Holder, as applicable, in connection with such agreements.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50" w:name="page51"/>
    <w:bookmarkEnd w:id="50"/>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the Company has caused this Warrant to Purchase Common Stock to be duly executed as of the Issuance Date set out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above.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CALCIMEDICA,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51" w:name="page52"/>
    <w:bookmarkEnd w:id="5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NOTICE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EXECUTED BY THE REGISTERED HOLDER TO EXERCISE THIS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SERIES B WARRANT TO PURCHASE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undersigned holder hereby exercises the right to purchase _________________ shares of Common Stock (“</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and/or</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pre-funded warrants to purchase ________________ shares of Common Stock at a purchase price of $0.0001 (the “</w:t>
      </w:r>
      <w:r>
        <w:rPr>
          <w:rFonts w:ascii="Times New Roman" w:cs="Times New Roman" w:eastAsia="Times New Roman" w:hAnsi="Times New Roman"/>
          <w:sz w:val="13"/>
          <w:szCs w:val="13"/>
          <w:b w:val="1"/>
          <w:bCs w:val="1"/>
          <w:i w:val="1"/>
          <w:iCs w:val="1"/>
          <w:color w:val="auto"/>
        </w:rPr>
        <w:t>Pre-Funded Warrants</w:t>
      </w:r>
      <w:r>
        <w:rPr>
          <w:rFonts w:ascii="Times New Roman" w:cs="Times New Roman" w:eastAsia="Times New Roman" w:hAnsi="Times New Roman"/>
          <w:sz w:val="13"/>
          <w:szCs w:val="13"/>
          <w:color w:val="auto"/>
        </w:rPr>
        <w:t>”)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CalciMedica,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evidenced by the attached Series B Warrant to Purchase Common Stock (the “</w:t>
      </w:r>
      <w:r>
        <w:rPr>
          <w:rFonts w:ascii="Times New Roman" w:cs="Times New Roman" w:eastAsia="Times New Roman" w:hAnsi="Times New Roman"/>
          <w:sz w:val="12"/>
          <w:szCs w:val="12"/>
          <w:b w:val="1"/>
          <w:bCs w:val="1"/>
          <w:i w:val="1"/>
          <w:iCs w:val="1"/>
          <w:color w:val="auto"/>
        </w:rPr>
        <w:t>Warrant</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Capitalized terms used herein and not otherwise defined shall have the respective meanings set forth in the Warrant.</w:t>
      </w:r>
    </w:p>
    <w:p>
      <w:pPr>
        <w:spacing w:after="0" w:line="65" w:lineRule="exact"/>
        <w:rPr>
          <w:sz w:val="20"/>
          <w:szCs w:val="20"/>
          <w:color w:val="auto"/>
        </w:rPr>
      </w:pPr>
    </w:p>
    <w:p>
      <w:pPr>
        <w:ind w:left="640" w:right="659" w:firstLine="307"/>
        <w:spacing w:after="0" w:line="267" w:lineRule="auto"/>
        <w:tabs>
          <w:tab w:leader="none" w:pos="107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Price. The Holder intends that payment of the Exercise Price shall be made with respect to _________________ Warrant Shares and/or Pre-Funded Warrants exercisable for _______________ shares of Common Stock.</w:t>
      </w:r>
    </w:p>
    <w:p>
      <w:pPr>
        <w:spacing w:after="0" w:line="46" w:lineRule="exact"/>
        <w:rPr>
          <w:rFonts w:ascii="Times New Roman" w:cs="Times New Roman" w:eastAsia="Times New Roman" w:hAnsi="Times New Roman"/>
          <w:sz w:val="13"/>
          <w:szCs w:val="13"/>
          <w:color w:val="auto"/>
        </w:rPr>
      </w:pPr>
    </w:p>
    <w:p>
      <w:pPr>
        <w:ind w:left="640" w:right="1019" w:firstLine="307"/>
        <w:spacing w:after="0" w:line="309" w:lineRule="auto"/>
        <w:tabs>
          <w:tab w:leader="none" w:pos="1076"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Exercise Price. The Holder shall pay the Aggregate Exercise Price in the sum of $___________________ to the Company in accordance with the terms of the Warrant, and/or in lieu of cash payment, a “Cashless Exercise” with respect to ____________ Warrant Shares.</w:t>
      </w:r>
    </w:p>
    <w:p>
      <w:pPr>
        <w:spacing w:after="0" w:line="23" w:lineRule="exact"/>
        <w:rPr>
          <w:rFonts w:ascii="Times New Roman" w:cs="Times New Roman" w:eastAsia="Times New Roman" w:hAnsi="Times New Roman"/>
          <w:sz w:val="12"/>
          <w:szCs w:val="12"/>
          <w:color w:val="auto"/>
        </w:rPr>
      </w:pPr>
    </w:p>
    <w:p>
      <w:pPr>
        <w:ind w:left="640" w:right="859" w:firstLine="307"/>
        <w:spacing w:after="0" w:line="267" w:lineRule="auto"/>
        <w:tabs>
          <w:tab w:leader="none" w:pos="107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Delivery of Warrant Shares and/or Pre-Funded Warrants. The Company shall deliver to the holder _______________ Warrant Shares and/or Pre-Funded Warrants exercisable for ____________ shares of Common Stock in accordance with the terms of the Warrant.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_____________, ______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of Registered Holder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52" w:name="page53"/>
    <w:bookmarkEnd w:id="5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separate document]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019"/>
          </w:cols>
          <w:pgMar w:left="1440" w:top="229" w:right="1440" w:bottom="1440" w:gutter="0" w:footer="0" w:header="0"/>
        </w:sectPr>
      </w:pPr>
    </w:p>
    <w:bookmarkStart w:id="53" w:name="page54"/>
    <w:bookmarkEnd w:id="5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i w:val="1"/>
          <w:iCs w:val="1"/>
          <w:color w:val="auto"/>
        </w:rPr>
        <w:t>Execution Version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PURCHASE AGREEMENT</w:t>
      </w:r>
    </w:p>
    <w:p>
      <w:pPr>
        <w:spacing w:after="0" w:line="154"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THIS SECURITIES PURCHASE AGREEMENT </w:t>
      </w: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is made as of June 23, 2026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by and between</w:t>
      </w:r>
      <w:r>
        <w:rPr>
          <w:rFonts w:ascii="Times New Roman" w:cs="Times New Roman" w:eastAsia="Times New Roman" w:hAnsi="Times New Roman"/>
          <w:sz w:val="13"/>
          <w:szCs w:val="13"/>
          <w:b w:val="1"/>
          <w:bCs w:val="1"/>
          <w:color w:val="auto"/>
        </w:rPr>
        <w:t xml:space="preserve"> CALCIMEDICA, INC.</w:t>
      </w:r>
      <w:r>
        <w:rPr>
          <w:rFonts w:ascii="Times New Roman" w:cs="Times New Roman" w:eastAsia="Times New Roman" w:hAnsi="Times New Roman"/>
          <w:sz w:val="13"/>
          <w:szCs w:val="13"/>
          <w:color w:val="auto"/>
        </w:rPr>
        <w:t>,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and each of the purchasers whose names are set forth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hereto (each,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Purchaser</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i w:val="1"/>
          <w:iCs w:val="1"/>
          <w:color w:val="auto"/>
        </w:rPr>
        <w:t>Purchasers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WHEREAS, </w:t>
      </w:r>
      <w:r>
        <w:rPr>
          <w:rFonts w:ascii="Times New Roman" w:cs="Times New Roman" w:eastAsia="Times New Roman" w:hAnsi="Times New Roman"/>
          <w:sz w:val="13"/>
          <w:szCs w:val="13"/>
          <w:color w:val="auto"/>
        </w:rPr>
        <w:t>the Company and the Purchasers are executing and delivering this Agreement in reliance upon the exemption from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afforded by Section 4(a)(2) of the U.S.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Purchasers desire to purchase, severally and not jointly, and the Company has agreed to sell and issue to the Purchasers, upon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terms and subject to the conditions set forth in this Agreement, an aggregate of $15 million of units (the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 xml:space="preserve">”) set forth opposite the name of such Purchaser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each Unit comprised of (i) (A) one share of the Company’s common stock, par value $0.0001 per share (the “</w:t>
      </w:r>
      <w:r>
        <w:rPr>
          <w:rFonts w:ascii="Times New Roman" w:cs="Times New Roman" w:eastAsia="Times New Roman" w:hAnsi="Times New Roman"/>
          <w:sz w:val="13"/>
          <w:szCs w:val="13"/>
          <w:b w:val="1"/>
          <w:bCs w:val="1"/>
          <w:i w:val="1"/>
          <w:iCs w:val="1"/>
          <w:color w:val="auto"/>
        </w:rPr>
        <w:t>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Stock</w:t>
      </w:r>
      <w:r>
        <w:rPr>
          <w:rFonts w:ascii="Times New Roman" w:cs="Times New Roman" w:eastAsia="Times New Roman" w:hAnsi="Times New Roman"/>
          <w:sz w:val="13"/>
          <w:szCs w:val="13"/>
          <w:color w:val="auto"/>
        </w:rPr>
        <w:t>”), or (B) one pre-funded warrant, in the form attached hereto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to purchase shares of Common Stock (each, a “</w:t>
      </w:r>
      <w:r>
        <w:rPr>
          <w:rFonts w:ascii="Times New Roman" w:cs="Times New Roman" w:eastAsia="Times New Roman" w:hAnsi="Times New Roman"/>
          <w:sz w:val="13"/>
          <w:szCs w:val="13"/>
          <w:b w:val="1"/>
          <w:bCs w:val="1"/>
          <w:i w:val="1"/>
          <w:iCs w:val="1"/>
          <w:color w:val="auto"/>
        </w:rPr>
        <w:t>Pre-Funded Warrant</w:t>
      </w:r>
      <w:r>
        <w:rPr>
          <w:rFonts w:ascii="Times New Roman" w:cs="Times New Roman" w:eastAsia="Times New Roman" w:hAnsi="Times New Roman"/>
          <w:sz w:val="13"/>
          <w:szCs w:val="13"/>
          <w:color w:val="auto"/>
        </w:rPr>
        <w:t>”), and in each case, (ii) a right to receive one warrant, in the form attached hereto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to purchase shares of Common Stock or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pre-funded warrant to purchase Common Stock (each, a “</w:t>
      </w:r>
      <w:r>
        <w:rPr>
          <w:rFonts w:ascii="Times New Roman" w:cs="Times New Roman" w:eastAsia="Times New Roman" w:hAnsi="Times New Roman"/>
          <w:sz w:val="13"/>
          <w:szCs w:val="13"/>
          <w:b w:val="1"/>
          <w:bCs w:val="1"/>
          <w:i w:val="1"/>
          <w:iCs w:val="1"/>
          <w:color w:val="auto"/>
        </w:rPr>
        <w:t>Series A Warrant</w:t>
      </w:r>
      <w:r>
        <w:rPr>
          <w:rFonts w:ascii="Times New Roman" w:cs="Times New Roman" w:eastAsia="Times New Roman" w:hAnsi="Times New Roman"/>
          <w:sz w:val="13"/>
          <w:szCs w:val="13"/>
          <w:color w:val="auto"/>
        </w:rPr>
        <w:t>”) upon receipt of Stockholder Approval (as defined below) and (iii) a right to receive one warrant, in the form attached hereto as Exhibit C, to purchase shares of Common Stock or a pre-funded warrant to purchase Common Stock (each, a “</w:t>
      </w:r>
      <w:r>
        <w:rPr>
          <w:rFonts w:ascii="Times New Roman" w:cs="Times New Roman" w:eastAsia="Times New Roman" w:hAnsi="Times New Roman"/>
          <w:sz w:val="13"/>
          <w:szCs w:val="13"/>
          <w:b w:val="1"/>
          <w:bCs w:val="1"/>
          <w:i w:val="1"/>
          <w:iCs w:val="1"/>
          <w:color w:val="auto"/>
        </w:rPr>
        <w:t>Series B Warrant</w:t>
      </w:r>
      <w:r>
        <w:rPr>
          <w:rFonts w:ascii="Times New Roman" w:cs="Times New Roman" w:eastAsia="Times New Roman" w:hAnsi="Times New Roman"/>
          <w:sz w:val="13"/>
          <w:szCs w:val="13"/>
          <w:color w:val="auto"/>
        </w:rPr>
        <w:t>”) upon receipt of Stockholder Approval (as defined below).</w:t>
      </w:r>
    </w:p>
    <w:p>
      <w:pPr>
        <w:spacing w:after="0" w:line="134" w:lineRule="exact"/>
        <w:rPr>
          <w:sz w:val="20"/>
          <w:szCs w:val="20"/>
          <w:color w:val="auto"/>
        </w:rPr>
      </w:pPr>
    </w:p>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in connection with the issuance and sale of the Securities to the Purchasers on the terms and subject to the conditions set forth in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the Company has entered into a placement agent engagement letter (the “</w:t>
      </w:r>
      <w:r>
        <w:rPr>
          <w:rFonts w:ascii="Times New Roman" w:cs="Times New Roman" w:eastAsia="Times New Roman" w:hAnsi="Times New Roman"/>
          <w:sz w:val="13"/>
          <w:szCs w:val="13"/>
          <w:b w:val="1"/>
          <w:bCs w:val="1"/>
          <w:i w:val="1"/>
          <w:iCs w:val="1"/>
          <w:color w:val="auto"/>
        </w:rPr>
        <w:t>Placement Agent Agreement</w:t>
      </w:r>
      <w:r>
        <w:rPr>
          <w:rFonts w:ascii="Times New Roman" w:cs="Times New Roman" w:eastAsia="Times New Roman" w:hAnsi="Times New Roman"/>
          <w:sz w:val="13"/>
          <w:szCs w:val="13"/>
          <w:color w:val="auto"/>
        </w:rPr>
        <w:t>”) with the investment banking firms named therein (collectively, the “</w:t>
      </w:r>
      <w:r>
        <w:rPr>
          <w:rFonts w:ascii="Times New Roman" w:cs="Times New Roman" w:eastAsia="Times New Roman" w:hAnsi="Times New Roman"/>
          <w:sz w:val="13"/>
          <w:szCs w:val="13"/>
          <w:b w:val="1"/>
          <w:bCs w:val="1"/>
          <w:i w:val="1"/>
          <w:iCs w:val="1"/>
          <w:color w:val="auto"/>
        </w:rPr>
        <w:t>Placement Agents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1. AUTHORIZATION OF SALE OF SECURITIES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The Company has authorized the sale and issuance of the Securities to the Purchasers on the terms and subject to the conditions set forth in this Agreement.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2. AGREEMENT TO SELL AND PURCHASE THE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2.1 Purchase</w:t>
      </w:r>
      <w:r>
        <w:rPr>
          <w:rFonts w:ascii="Times New Roman" w:cs="Times New Roman" w:eastAsia="Times New Roman" w:hAnsi="Times New Roman"/>
          <w:sz w:val="13"/>
          <w:szCs w:val="13"/>
          <w:color w:val="auto"/>
        </w:rPr>
        <w:t>. At the Closing (as defined below), the Company will issue, sell and deliver to each Purchaser, and such Purchaser will purchase,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severally and not jointly, from the Company, that number of Units set forth opposite such Purchaser’s name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hereto, inclusive of the number of shares of Common Stock and/or Pre-Funded Warrants and a right to receive the number of Series A Warrants and Series B Warrants indicated thereon upon receipt of Stockholder Approval. The purchase price per Unit shall be $0.8033 (the “</w:t>
      </w:r>
      <w:r>
        <w:rPr>
          <w:rFonts w:ascii="Times New Roman" w:cs="Times New Roman" w:eastAsia="Times New Roman" w:hAnsi="Times New Roman"/>
          <w:sz w:val="13"/>
          <w:szCs w:val="13"/>
          <w:b w:val="1"/>
          <w:bCs w:val="1"/>
          <w:i w:val="1"/>
          <w:iCs w:val="1"/>
          <w:color w:val="auto"/>
        </w:rPr>
        <w:t>Purchase Price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to the extent Pre-Funded Warrants are purchased, the price of such Unit shall be equal to the Purchase Price minus $0.0001; provided, further, that for any Purchaser that is an officer, director, employee or consultant of the Company, the Purchase Price shall be adjusted, if necessary, to be the greater of $0.8033 or the “consolidated closing bid price” as of the Effective Date in compliance with Nasdaq Listing Rule 5635(c). The Pre-Funded Warrants shall have an exercise price equal to $0.0001 per Warrant Share. The Series A Warrants shall have an exercise price equal to $0.8033 per Warrant Share. The Series B Warrants shall have an exercise price equal to $1.00 per Warrant Share. For the avoidance of doubt, the election to receive Pre-Funded Warrants is solely at the option of the Purchaser.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54" w:name="page55"/>
    <w:bookmarkEnd w:id="5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2.2 Definitions</w:t>
      </w:r>
      <w:r>
        <w:rPr>
          <w:rFonts w:ascii="Times New Roman" w:cs="Times New Roman" w:eastAsia="Times New Roman" w:hAnsi="Times New Roman"/>
          <w:sz w:val="13"/>
          <w:szCs w:val="13"/>
          <w:color w:val="auto"/>
        </w:rPr>
        <w:t>. For purposes of this Agreement, the following terms shall have the following meanings:</w:t>
      </w:r>
    </w:p>
    <w:p>
      <w:pPr>
        <w:spacing w:after="0" w:line="154" w:lineRule="exact"/>
        <w:rPr>
          <w:sz w:val="20"/>
          <w:szCs w:val="20"/>
          <w:color w:val="auto"/>
        </w:rPr>
      </w:pPr>
    </w:p>
    <w:p>
      <w:pPr>
        <w:ind w:left="640" w:right="839" w:firstLine="693"/>
        <w:spacing w:after="0" w:line="313" w:lineRule="auto"/>
        <w:tabs>
          <w:tab w:leader="none" w:pos="1515"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Person, any Person that, directly or indirectly through one or more intermediaries, controls, is controlled by or is under common control with such Person, as such terms are used in and construed under Rule 405 under the Securities Act.</w:t>
      </w:r>
    </w:p>
    <w:p>
      <w:pPr>
        <w:spacing w:after="0" w:line="94" w:lineRule="exact"/>
        <w:rPr>
          <w:rFonts w:ascii="Times New Roman" w:cs="Times New Roman" w:eastAsia="Times New Roman" w:hAnsi="Times New Roman"/>
          <w:sz w:val="12"/>
          <w:szCs w:val="12"/>
          <w:b w:val="1"/>
          <w:bCs w:val="1"/>
          <w:color w:val="auto"/>
        </w:rPr>
      </w:pPr>
    </w:p>
    <w:p>
      <w:pPr>
        <w:ind w:left="1520" w:hanging="187"/>
        <w:spacing w:after="0"/>
        <w:tabs>
          <w:tab w:leader="none" w:pos="1520"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Day</w:t>
      </w:r>
      <w:r>
        <w:rPr>
          <w:rFonts w:ascii="Times New Roman" w:cs="Times New Roman" w:eastAsia="Times New Roman" w:hAnsi="Times New Roman"/>
          <w:sz w:val="12"/>
          <w:szCs w:val="12"/>
          <w:color w:val="auto"/>
        </w:rPr>
        <w:t>” means a day, other than a Saturday or Sunday, on which banks in New York City are open for the general transaction</w:t>
      </w:r>
    </w:p>
    <w:p>
      <w:pPr>
        <w:spacing w:after="0" w:line="28" w:lineRule="exact"/>
        <w:rPr>
          <w:rFonts w:ascii="Times New Roman" w:cs="Times New Roman" w:eastAsia="Times New Roman" w:hAnsi="Times New Roman"/>
          <w:sz w:val="12"/>
          <w:szCs w:val="12"/>
          <w:b w:val="1"/>
          <w:bCs w:val="1"/>
          <w:color w:val="auto"/>
        </w:rPr>
      </w:pPr>
    </w:p>
    <w:p>
      <w:pPr>
        <w:ind w:left="6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of business.</w:t>
      </w:r>
    </w:p>
    <w:p>
      <w:pPr>
        <w:spacing w:after="0" w:line="138" w:lineRule="exact"/>
        <w:rPr>
          <w:rFonts w:ascii="Times New Roman" w:cs="Times New Roman" w:eastAsia="Times New Roman" w:hAnsi="Times New Roman"/>
          <w:sz w:val="12"/>
          <w:szCs w:val="12"/>
          <w:b w:val="1"/>
          <w:bCs w:val="1"/>
          <w:color w:val="auto"/>
        </w:rPr>
      </w:pPr>
    </w:p>
    <w:p>
      <w:pPr>
        <w:jc w:val="both"/>
        <w:ind w:left="640" w:right="839" w:firstLine="693"/>
        <w:spacing w:after="0" w:line="288" w:lineRule="auto"/>
        <w:tabs>
          <w:tab w:leader="none" w:pos="1508"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 Equivalents</w:t>
      </w:r>
      <w:r>
        <w:rPr>
          <w:rFonts w:ascii="Times New Roman" w:cs="Times New Roman" w:eastAsia="Times New Roman" w:hAnsi="Times New Roman"/>
          <w:sz w:val="12"/>
          <w:szCs w:val="12"/>
          <w:color w:val="auto"/>
        </w:rPr>
        <w:t>” shall mean any securities of the Company that would entitle the holder thereof to acquire at any time Common Stock, including, without limitation, any debt, preferred stock, rights, options, restricted stock units, pre-funded warrants, warrants or other instrument that is at any time convertible into or exchangeable for, or otherwise entitles the holder thereof to receive, Common Stock.</w:t>
      </w:r>
    </w:p>
    <w:p>
      <w:pPr>
        <w:spacing w:after="0" w:line="109" w:lineRule="exact"/>
        <w:rPr>
          <w:rFonts w:ascii="Times New Roman" w:cs="Times New Roman" w:eastAsia="Times New Roman" w:hAnsi="Times New Roman"/>
          <w:sz w:val="12"/>
          <w:szCs w:val="12"/>
          <w:b w:val="1"/>
          <w:bCs w:val="1"/>
          <w:color w:val="auto"/>
        </w:rPr>
      </w:pPr>
    </w:p>
    <w:p>
      <w:pPr>
        <w:ind w:left="1520" w:hanging="187"/>
        <w:spacing w:after="0"/>
        <w:tabs>
          <w:tab w:leader="none" w:pos="1520"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Warrants</w:t>
      </w:r>
      <w:r>
        <w:rPr>
          <w:rFonts w:ascii="Times New Roman" w:cs="Times New Roman" w:eastAsia="Times New Roman" w:hAnsi="Times New Roman"/>
          <w:sz w:val="12"/>
          <w:szCs w:val="12"/>
          <w:color w:val="auto"/>
        </w:rPr>
        <w:t>” means, collectively the Series A Warrants and Series B Warrants issuable to the Purchasers upon Stockholder</w:t>
      </w:r>
    </w:p>
    <w:p>
      <w:pPr>
        <w:spacing w:after="0" w:line="28" w:lineRule="exact"/>
        <w:rPr>
          <w:rFonts w:ascii="Times New Roman" w:cs="Times New Roman" w:eastAsia="Times New Roman" w:hAnsi="Times New Roman"/>
          <w:sz w:val="12"/>
          <w:szCs w:val="12"/>
          <w:b w:val="1"/>
          <w:bCs w:val="1"/>
          <w:color w:val="auto"/>
        </w:rPr>
      </w:pPr>
    </w:p>
    <w:p>
      <w:pPr>
        <w:ind w:left="6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Approval.</w:t>
      </w:r>
    </w:p>
    <w:p>
      <w:pPr>
        <w:spacing w:after="0" w:line="138" w:lineRule="exact"/>
        <w:rPr>
          <w:rFonts w:ascii="Times New Roman" w:cs="Times New Roman" w:eastAsia="Times New Roman" w:hAnsi="Times New Roman"/>
          <w:sz w:val="12"/>
          <w:szCs w:val="12"/>
          <w:b w:val="1"/>
          <w:bCs w:val="1"/>
          <w:color w:val="auto"/>
        </w:rPr>
      </w:pPr>
    </w:p>
    <w:p>
      <w:pPr>
        <w:ind w:left="640" w:right="839" w:firstLine="693"/>
        <w:spacing w:after="0" w:line="257" w:lineRule="auto"/>
        <w:tabs>
          <w:tab w:leader="none" w:pos="1508" w:val="left"/>
        </w:tabs>
        <w:numPr>
          <w:ilvl w:val="0"/>
          <w:numId w:val="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Warrant Shares</w:t>
      </w:r>
      <w:r>
        <w:rPr>
          <w:rFonts w:ascii="Times New Roman" w:cs="Times New Roman" w:eastAsia="Times New Roman" w:hAnsi="Times New Roman"/>
          <w:sz w:val="13"/>
          <w:szCs w:val="13"/>
          <w:color w:val="auto"/>
        </w:rPr>
        <w:t>” means, the shares of Common Stock issuable upon exercise of the Series A Warrants and Series B Warrants, including any shares of Common Stock issuable pursuant to the pre-funded warrants issuable pursuant to the Series A Warrants or Series B Warrants.</w:t>
      </w:r>
    </w:p>
    <w:p>
      <w:pPr>
        <w:spacing w:after="0" w:line="126" w:lineRule="exact"/>
        <w:rPr>
          <w:rFonts w:ascii="Times New Roman" w:cs="Times New Roman" w:eastAsia="Times New Roman" w:hAnsi="Times New Roman"/>
          <w:sz w:val="13"/>
          <w:szCs w:val="13"/>
          <w:b w:val="1"/>
          <w:bCs w:val="1"/>
          <w:color w:val="auto"/>
        </w:rPr>
      </w:pPr>
    </w:p>
    <w:p>
      <w:pPr>
        <w:ind w:left="640" w:right="659" w:firstLine="693"/>
        <w:spacing w:after="0" w:line="248" w:lineRule="auto"/>
        <w:tabs>
          <w:tab w:leader="none" w:pos="1494" w:val="left"/>
        </w:tabs>
        <w:numPr>
          <w:ilvl w:val="0"/>
          <w:numId w:val="7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Exempt Filing</w:t>
      </w:r>
      <w:r>
        <w:rPr>
          <w:rFonts w:ascii="Times New Roman" w:cs="Times New Roman" w:eastAsia="Times New Roman" w:hAnsi="Times New Roman"/>
          <w:sz w:val="13"/>
          <w:szCs w:val="13"/>
          <w:color w:val="auto"/>
        </w:rPr>
        <w:t>” means the filing by the Company with the United States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on or after the Effective Date of (i) any registration statement on Form S-8 in connection with the offer and sale of securities to be issued pursuant to any equity incentive plan, (ii) a universal “shelf” registration statement on Form S-3 so long as no securities are sold thereunder, (iii) any Registration Statement (as defined below) filed in connection with this Agreement (which, for the avoidance of doubt, includes the Secondary Registration Statement and the Remainder Registration Statement (each, as defined below)) and/or (iv) a registration statement on Form S-4 in connection with any business combination transaction involving the Company or a subsidiary thereof.</w:t>
      </w:r>
    </w:p>
    <w:p>
      <w:pPr>
        <w:spacing w:after="0" w:line="134" w:lineRule="exact"/>
        <w:rPr>
          <w:rFonts w:ascii="Times New Roman" w:cs="Times New Roman" w:eastAsia="Times New Roman" w:hAnsi="Times New Roman"/>
          <w:sz w:val="13"/>
          <w:szCs w:val="13"/>
          <w:b w:val="1"/>
          <w:bCs w:val="1"/>
          <w:color w:val="auto"/>
        </w:rPr>
      </w:pPr>
    </w:p>
    <w:p>
      <w:pPr>
        <w:ind w:left="640" w:right="659" w:firstLine="693"/>
        <w:spacing w:after="0" w:line="266" w:lineRule="auto"/>
        <w:tabs>
          <w:tab w:leader="none" w:pos="1515"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Exempt Issuance</w:t>
      </w:r>
      <w:r>
        <w:rPr>
          <w:rFonts w:ascii="Times New Roman" w:cs="Times New Roman" w:eastAsia="Times New Roman" w:hAnsi="Times New Roman"/>
          <w:sz w:val="12"/>
          <w:szCs w:val="12"/>
          <w:color w:val="auto"/>
        </w:rPr>
        <w:t xml:space="preserve">” means (i) the issuance of shares of Common Stock, restricted stock units, options or other stock awards to employees, officers or directors of the Company pursuant to any stock or option plan duly adopted for such purpose as of the Effective Date, by a majority of the non-employee members of the Board of Directors or a majority of the members of a committee of non-employee directors established for such purpose for services rendered to the Company; (ii) the issuance and sale of the Securities to be issued hereunder and securities upon the exercise or exchange of or conversion of any Securities issued hereunder and/or other securities exercisable or exchangeable for or convertible into shares of Common Stock issued and outstanding on the date of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(iii) the issuance of securities issued pursuant to any licensing, collaboration, acquisition or strategic transactions approved by a majority of the disinterested directors of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aggregate number of shares of Common Stock issued pursuant to clause (iii) during the restricted period shall not exceed 10% of the total number of shares of Common Stock issued and outstanding immediately following the Closing); (iv) facilitating the establishment of a trading plan on behalf of a stockholder, officer, employee or director of the Company pursuant to Rule 10b5-1 under the Exchange Act for the transfer of shares of Common Stock; (v) the filing by the Company of any registration statement on Form S-8 or a successor form thereto relating to any Company stock or option plan described in the SEC Documents; (vi) the filing of any amendments or supplements to any existing resale registration statements contained in the SEC Documents; and (vii) issuances of Common Stock or warrants or rights to obtain Common Stock or warrants, in each case, pursuant to the Loan Agreement.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55" w:name="page56"/>
    <w:bookmarkEnd w:id="55"/>
    <w:p>
      <w:pPr>
        <w:ind w:left="1520" w:hanging="187"/>
        <w:spacing w:after="0"/>
        <w:tabs>
          <w:tab w:leader="none" w:pos="1520" w:val="left"/>
        </w:tabs>
        <w:numPr>
          <w:ilvl w:val="1"/>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GAAP</w:t>
      </w:r>
      <w:r>
        <w:rPr>
          <w:rFonts w:ascii="Times New Roman" w:cs="Times New Roman" w:eastAsia="Times New Roman" w:hAnsi="Times New Roman"/>
          <w:sz w:val="13"/>
          <w:szCs w:val="13"/>
          <w:color w:val="auto"/>
        </w:rPr>
        <w:t>” means United States generally accepted accounting principles.</w:t>
      </w:r>
    </w:p>
    <w:p>
      <w:pPr>
        <w:spacing w:after="0" w:line="153" w:lineRule="exact"/>
        <w:rPr>
          <w:rFonts w:ascii="Times New Roman" w:cs="Times New Roman" w:eastAsia="Times New Roman" w:hAnsi="Times New Roman"/>
          <w:sz w:val="13"/>
          <w:szCs w:val="13"/>
          <w:b w:val="1"/>
          <w:bCs w:val="1"/>
          <w:color w:val="auto"/>
        </w:rPr>
      </w:pPr>
    </w:p>
    <w:p>
      <w:pPr>
        <w:ind w:left="640" w:right="659" w:firstLine="693"/>
        <w:spacing w:after="0" w:line="252" w:lineRule="auto"/>
        <w:tabs>
          <w:tab w:leader="none" w:pos="1487" w:val="left"/>
        </w:tabs>
        <w:numPr>
          <w:ilvl w:val="1"/>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Governmental Entity</w:t>
      </w:r>
      <w:r>
        <w:rPr>
          <w:rFonts w:ascii="Times New Roman" w:cs="Times New Roman" w:eastAsia="Times New Roman" w:hAnsi="Times New Roman"/>
          <w:sz w:val="13"/>
          <w:szCs w:val="13"/>
          <w:color w:val="auto"/>
        </w:rPr>
        <w:t>” means any national, federal, state, county, municipal, local or foreign government, or other political subdivision thereof or any other governmental, administrative, judicial, arbitral, legislative, executive, regulatory or self-regulatory authority (including the Trading Market), instrumentality, agency, commission or body and any entity exercising executive, legislative, judicial, regulatory, taxing or administrative functions of or pertaining to government.</w:t>
      </w:r>
    </w:p>
    <w:p>
      <w:pPr>
        <w:spacing w:after="0" w:line="130" w:lineRule="exact"/>
        <w:rPr>
          <w:rFonts w:ascii="Times New Roman" w:cs="Times New Roman" w:eastAsia="Times New Roman" w:hAnsi="Times New Roman"/>
          <w:sz w:val="13"/>
          <w:szCs w:val="13"/>
          <w:b w:val="1"/>
          <w:bCs w:val="1"/>
          <w:color w:val="auto"/>
        </w:rPr>
      </w:pPr>
    </w:p>
    <w:p>
      <w:pPr>
        <w:jc w:val="both"/>
        <w:ind w:left="640" w:right="719" w:firstLine="693"/>
        <w:spacing w:after="0" w:line="257" w:lineRule="auto"/>
        <w:tabs>
          <w:tab w:leader="none" w:pos="1494" w:val="left"/>
        </w:tabs>
        <w:numPr>
          <w:ilvl w:val="1"/>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Knowledge of the Company</w:t>
      </w:r>
      <w:r>
        <w:rPr>
          <w:rFonts w:ascii="Times New Roman" w:cs="Times New Roman" w:eastAsia="Times New Roman" w:hAnsi="Times New Roman"/>
          <w:sz w:val="13"/>
          <w:szCs w:val="13"/>
          <w:color w:val="auto"/>
        </w:rPr>
        <w:t>” means, with respect to the Company, such statement is based upon the actual knowledge, or knowledge that would have been acquired after reasonable inquiry, of the executive officers of the Company having responsibility for the matter or matters that are the subject of the statement.</w:t>
      </w:r>
    </w:p>
    <w:p>
      <w:pPr>
        <w:spacing w:after="0" w:line="126" w:lineRule="exact"/>
        <w:rPr>
          <w:rFonts w:ascii="Times New Roman" w:cs="Times New Roman" w:eastAsia="Times New Roman" w:hAnsi="Times New Roman"/>
          <w:sz w:val="13"/>
          <w:szCs w:val="13"/>
          <w:b w:val="1"/>
          <w:bCs w:val="1"/>
          <w:color w:val="auto"/>
        </w:rPr>
      </w:pPr>
    </w:p>
    <w:p>
      <w:pPr>
        <w:ind w:left="640" w:right="1139" w:firstLine="693"/>
        <w:spacing w:after="0" w:line="270" w:lineRule="auto"/>
        <w:tabs>
          <w:tab w:leader="none" w:pos="1522" w:val="left"/>
        </w:tabs>
        <w:numPr>
          <w:ilvl w:val="1"/>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Law</w:t>
      </w:r>
      <w:r>
        <w:rPr>
          <w:rFonts w:ascii="Times New Roman" w:cs="Times New Roman" w:eastAsia="Times New Roman" w:hAnsi="Times New Roman"/>
          <w:sz w:val="13"/>
          <w:szCs w:val="13"/>
          <w:color w:val="auto"/>
        </w:rPr>
        <w:t>” means any federal, state, local or foreign law (including common law), statute, code, ordinance, rule, regulation, order, judgment, writ, stipulation, award, injunction, decree, arbitration award or finding or any other legally enforceable requirement.</w:t>
      </w:r>
    </w:p>
    <w:p>
      <w:pPr>
        <w:spacing w:after="0" w:line="118" w:lineRule="exact"/>
        <w:rPr>
          <w:rFonts w:ascii="Times New Roman" w:cs="Times New Roman" w:eastAsia="Times New Roman" w:hAnsi="Times New Roman"/>
          <w:sz w:val="13"/>
          <w:szCs w:val="13"/>
          <w:b w:val="1"/>
          <w:bCs w:val="1"/>
          <w:color w:val="auto"/>
        </w:rPr>
      </w:pPr>
    </w:p>
    <w:p>
      <w:pPr>
        <w:ind w:left="640" w:right="659" w:firstLine="693"/>
        <w:spacing w:after="0" w:line="252" w:lineRule="auto"/>
        <w:tabs>
          <w:tab w:leader="none" w:pos="1487" w:val="left"/>
        </w:tabs>
        <w:numPr>
          <w:ilvl w:val="1"/>
          <w:numId w:val="7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Loan Agreement</w:t>
      </w:r>
      <w:r>
        <w:rPr>
          <w:rFonts w:ascii="Times New Roman" w:cs="Times New Roman" w:eastAsia="Times New Roman" w:hAnsi="Times New Roman"/>
          <w:sz w:val="13"/>
          <w:szCs w:val="13"/>
          <w:color w:val="auto"/>
        </w:rPr>
        <w:t>” means that certain Loan and Security Agreement dated February 28, 2025, by and among the Company, Avenue Capital Management II, L.P. (“</w:t>
      </w:r>
      <w:r>
        <w:rPr>
          <w:rFonts w:ascii="Times New Roman" w:cs="Times New Roman" w:eastAsia="Times New Roman" w:hAnsi="Times New Roman"/>
          <w:sz w:val="13"/>
          <w:szCs w:val="13"/>
          <w:b w:val="1"/>
          <w:bCs w:val="1"/>
          <w:i w:val="1"/>
          <w:iCs w:val="1"/>
          <w:color w:val="auto"/>
        </w:rPr>
        <w:t>Avenue Capital</w:t>
      </w:r>
      <w:r>
        <w:rPr>
          <w:rFonts w:ascii="Times New Roman" w:cs="Times New Roman" w:eastAsia="Times New Roman" w:hAnsi="Times New Roman"/>
          <w:sz w:val="13"/>
          <w:szCs w:val="13"/>
          <w:color w:val="auto"/>
        </w:rPr>
        <w:t>”), and Avenue Venture Opportunities Fund II, L.P. (“</w:t>
      </w:r>
      <w:r>
        <w:rPr>
          <w:rFonts w:ascii="Times New Roman" w:cs="Times New Roman" w:eastAsia="Times New Roman" w:hAnsi="Times New Roman"/>
          <w:sz w:val="13"/>
          <w:szCs w:val="13"/>
          <w:b w:val="1"/>
          <w:bCs w:val="1"/>
          <w:i w:val="1"/>
          <w:iCs w:val="1"/>
          <w:color w:val="auto"/>
        </w:rPr>
        <w:t>Avenue Venture</w:t>
      </w:r>
      <w:r>
        <w:rPr>
          <w:rFonts w:ascii="Times New Roman" w:cs="Times New Roman" w:eastAsia="Times New Roman" w:hAnsi="Times New Roman"/>
          <w:sz w:val="13"/>
          <w:szCs w:val="13"/>
          <w:color w:val="auto"/>
        </w:rPr>
        <w:t>”, and together with Avenue Capital, “</w:t>
      </w:r>
      <w:r>
        <w:rPr>
          <w:rFonts w:ascii="Times New Roman" w:cs="Times New Roman" w:eastAsia="Times New Roman" w:hAnsi="Times New Roman"/>
          <w:sz w:val="13"/>
          <w:szCs w:val="13"/>
          <w:b w:val="1"/>
          <w:bCs w:val="1"/>
          <w:i w:val="1"/>
          <w:iCs w:val="1"/>
          <w:color w:val="auto"/>
        </w:rPr>
        <w:t>Avenue</w:t>
      </w:r>
      <w:r>
        <w:rPr>
          <w:rFonts w:ascii="Times New Roman" w:cs="Times New Roman" w:eastAsia="Times New Roman" w:hAnsi="Times New Roman"/>
          <w:sz w:val="13"/>
          <w:szCs w:val="13"/>
          <w:color w:val="auto"/>
        </w:rPr>
        <w:t>”) as supplemented by that certain Supplement to the Loan and Security Agreement dated February 28, 2025, by and among the Company and Avenue, and which may be supplemented or amended from time to time.</w:t>
      </w:r>
    </w:p>
    <w:p>
      <w:pPr>
        <w:spacing w:after="0" w:line="130" w:lineRule="exact"/>
        <w:rPr>
          <w:rFonts w:ascii="Times New Roman" w:cs="Times New Roman" w:eastAsia="Times New Roman" w:hAnsi="Times New Roman"/>
          <w:sz w:val="13"/>
          <w:szCs w:val="13"/>
          <w:b w:val="1"/>
          <w:bCs w:val="1"/>
          <w:color w:val="auto"/>
        </w:rPr>
      </w:pPr>
    </w:p>
    <w:p>
      <w:pPr>
        <w:ind w:left="640" w:right="659" w:firstLine="693"/>
        <w:spacing w:after="0" w:line="272" w:lineRule="auto"/>
        <w:tabs>
          <w:tab w:leader="none" w:pos="1557" w:val="left"/>
        </w:tabs>
        <w:numPr>
          <w:ilvl w:val="1"/>
          <w:numId w:val="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 Adverse Effect</w:t>
      </w:r>
      <w:r>
        <w:rPr>
          <w:rFonts w:ascii="Times New Roman" w:cs="Times New Roman" w:eastAsia="Times New Roman" w:hAnsi="Times New Roman"/>
          <w:sz w:val="12"/>
          <w:szCs w:val="12"/>
          <w:color w:val="auto"/>
        </w:rPr>
        <w:t>” shall mean any change, event, development, condition, occurrence or effect that, individually or in the aggregate with all other changes, events, developments, conditions, occurrences or effects (i) is, or would reasonably be expected to be, materially adverse to the business, financial condition, assets, liabilities or results of operations of the Company and its subsidiaries considered as one enterprise, or</w:t>
      </w:r>
    </w:p>
    <w:p>
      <w:pPr>
        <w:ind w:left="640" w:right="739" w:hanging="3"/>
        <w:spacing w:after="0" w:line="269" w:lineRule="auto"/>
        <w:tabs>
          <w:tab w:leader="none" w:pos="826"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materially impairs the ability of the Company to comply, or prevents the Company from complying, with its material obligations with respect to the Closing or would reasonably be expected to do so, or (iii) is, or would reasonably be expected to be, materially adverse to the validity of the Securities purchased hereunder or the legal authority of the Company to comply in all material respects with the terms of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none of the following will be deemed in themselves, either alone or in combination, to constitute, and that none of the following will be taken into account in determining whether there has been or will be, a Material Adverse Effect under subclause (i) of this definition:</w:t>
      </w:r>
    </w:p>
    <w:p>
      <w:pPr>
        <w:spacing w:after="0" w:line="57" w:lineRule="exact"/>
        <w:rPr>
          <w:rFonts w:ascii="Times New Roman" w:cs="Times New Roman" w:eastAsia="Times New Roman" w:hAnsi="Times New Roman"/>
          <w:sz w:val="12"/>
          <w:szCs w:val="12"/>
          <w:color w:val="auto"/>
        </w:rPr>
      </w:pPr>
    </w:p>
    <w:p>
      <w:pPr>
        <w:ind w:left="2020" w:right="759" w:hanging="378"/>
        <w:spacing w:after="0" w:line="255" w:lineRule="auto"/>
        <w:tabs>
          <w:tab w:leader="none" w:pos="2020" w:val="left"/>
        </w:tabs>
        <w:numPr>
          <w:ilvl w:val="2"/>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change generally affecting the economy, financial markets or political, economic or regulatory conditions in the United States or any other geographic region in which the Company conducts business, if the Company is not disproportionately affected thereby;</w:t>
      </w:r>
    </w:p>
    <w:p>
      <w:pPr>
        <w:spacing w:after="0" w:line="63" w:lineRule="exact"/>
        <w:rPr>
          <w:rFonts w:ascii="Times New Roman" w:cs="Times New Roman" w:eastAsia="Times New Roman" w:hAnsi="Times New Roman"/>
          <w:sz w:val="13"/>
          <w:szCs w:val="13"/>
          <w:b w:val="1"/>
          <w:bCs w:val="1"/>
          <w:color w:val="auto"/>
        </w:rPr>
      </w:pPr>
    </w:p>
    <w:p>
      <w:pPr>
        <w:ind w:left="2020" w:right="759" w:hanging="378"/>
        <w:spacing w:after="0" w:line="267" w:lineRule="auto"/>
        <w:tabs>
          <w:tab w:leader="none" w:pos="2020" w:val="left"/>
        </w:tabs>
        <w:numPr>
          <w:ilvl w:val="2"/>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general financial, debt, banking, capital, credit or securities market conditions, including interest rates or exchange rates, or any changes therein, if the Company is not disproportionately affected thereby;</w:t>
      </w:r>
    </w:p>
    <w:p>
      <w:pPr>
        <w:spacing w:after="0" w:line="55" w:lineRule="exact"/>
        <w:rPr>
          <w:rFonts w:ascii="Times New Roman" w:cs="Times New Roman" w:eastAsia="Times New Roman" w:hAnsi="Times New Roman"/>
          <w:sz w:val="13"/>
          <w:szCs w:val="13"/>
          <w:b w:val="1"/>
          <w:bCs w:val="1"/>
          <w:color w:val="auto"/>
        </w:rPr>
      </w:pPr>
    </w:p>
    <w:p>
      <w:pPr>
        <w:ind w:left="2020" w:right="1539" w:hanging="378"/>
        <w:spacing w:after="0" w:line="267" w:lineRule="auto"/>
        <w:tabs>
          <w:tab w:leader="none" w:pos="2020" w:val="left"/>
        </w:tabs>
        <w:numPr>
          <w:ilvl w:val="2"/>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change that generally affects industries in which the Company conducts business, if the Company is not disproportionately affected thereby;</w:t>
      </w:r>
    </w:p>
    <w:p>
      <w:pPr>
        <w:spacing w:after="0" w:line="55" w:lineRule="exact"/>
        <w:rPr>
          <w:rFonts w:ascii="Times New Roman" w:cs="Times New Roman" w:eastAsia="Times New Roman" w:hAnsi="Times New Roman"/>
          <w:sz w:val="13"/>
          <w:szCs w:val="13"/>
          <w:b w:val="1"/>
          <w:bCs w:val="1"/>
          <w:color w:val="auto"/>
        </w:rPr>
      </w:pPr>
    </w:p>
    <w:p>
      <w:pPr>
        <w:ind w:left="2020" w:hanging="378"/>
        <w:spacing w:after="0"/>
        <w:tabs>
          <w:tab w:leader="none" w:pos="2020" w:val="left"/>
        </w:tabs>
        <w:numPr>
          <w:ilvl w:val="2"/>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changes in Laws after the date hereof, if the Company is not disproportionately affected thereby;</w:t>
      </w:r>
    </w:p>
    <w:p>
      <w:pPr>
        <w:spacing w:after="0" w:line="87" w:lineRule="exact"/>
        <w:rPr>
          <w:rFonts w:ascii="Times New Roman" w:cs="Times New Roman" w:eastAsia="Times New Roman" w:hAnsi="Times New Roman"/>
          <w:sz w:val="13"/>
          <w:szCs w:val="13"/>
          <w:b w:val="1"/>
          <w:bCs w:val="1"/>
          <w:color w:val="auto"/>
        </w:rPr>
      </w:pPr>
    </w:p>
    <w:p>
      <w:pPr>
        <w:ind w:left="2020" w:right="819" w:hanging="378"/>
        <w:spacing w:after="0" w:line="255" w:lineRule="auto"/>
        <w:tabs>
          <w:tab w:leader="none" w:pos="2020" w:val="left"/>
        </w:tabs>
        <w:numPr>
          <w:ilvl w:val="2"/>
          <w:numId w:val="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epidemic, pandemic or disease outbreak or any worsening of such epidemic, pandemic or disease outbreak or any declaration of martial law, quarantine or similar directive, policy or guidance or Law or other action by any Governmental Entity in response thereto;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56" w:name="page57"/>
    <w:bookmarkEnd w:id="56"/>
    <w:p>
      <w:pPr>
        <w:ind w:left="2020" w:hanging="378"/>
        <w:spacing w:after="0"/>
        <w:tabs>
          <w:tab w:leader="none" w:pos="2020"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changes in GAAP after the date of this Agreement, if the Company is not disproportionately affected thereby; or</w:t>
      </w:r>
    </w:p>
    <w:p>
      <w:pPr>
        <w:spacing w:after="0" w:line="87" w:lineRule="exact"/>
        <w:rPr>
          <w:rFonts w:ascii="Times New Roman" w:cs="Times New Roman" w:eastAsia="Times New Roman" w:hAnsi="Times New Roman"/>
          <w:sz w:val="13"/>
          <w:szCs w:val="13"/>
          <w:b w:val="1"/>
          <w:bCs w:val="1"/>
          <w:color w:val="auto"/>
        </w:rPr>
      </w:pPr>
    </w:p>
    <w:p>
      <w:pPr>
        <w:ind w:left="2020" w:right="839" w:hanging="378"/>
        <w:spacing w:after="0" w:line="255" w:lineRule="auto"/>
        <w:tabs>
          <w:tab w:leader="none" w:pos="2020"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change arising in connection with earthquakes, hostilities, acts of war, acts of God, natural disasters, sabotage or terrorism, military actions or any escalation or material worsening of any such hostilities, acts of war, acts of God, natural disasters, sabotage or terrorism or military actions;</w:t>
      </w:r>
    </w:p>
    <w:p>
      <w:pPr>
        <w:spacing w:after="0" w:line="52" w:lineRule="exact"/>
        <w:rPr>
          <w:sz w:val="20"/>
          <w:szCs w:val="20"/>
          <w:color w:val="auto"/>
        </w:rPr>
      </w:pPr>
    </w:p>
    <w:p>
      <w:pPr>
        <w:ind w:left="1640" w:right="839"/>
        <w:spacing w:after="0" w:line="276" w:lineRule="auto"/>
        <w:rPr>
          <w:sz w:val="20"/>
          <w:szCs w:val="20"/>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the underlying cause of any change described in the foregoing clauses (A) through (G) may be deemed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constitute, or be taken into account in determining whether there has been or will be, a Material Adverse Effect under subclause</w:t>
      </w:r>
    </w:p>
    <w:p>
      <w:pPr>
        <w:spacing w:after="0" w:line="1" w:lineRule="exact"/>
        <w:rPr>
          <w:sz w:val="20"/>
          <w:szCs w:val="20"/>
          <w:color w:val="auto"/>
        </w:rPr>
      </w:pPr>
    </w:p>
    <w:p>
      <w:pPr>
        <w:ind w:left="1640" w:right="779" w:firstLine="3"/>
        <w:spacing w:after="0" w:line="246" w:lineRule="auto"/>
        <w:tabs>
          <w:tab w:leader="none" w:pos="1791"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this definition, except to the extent any such change would otherwise be excepted from this definition in accordance with the foregoing.</w:t>
      </w:r>
    </w:p>
    <w:p>
      <w:pPr>
        <w:spacing w:after="0" w:line="13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Pre-Funded Warrant Shares</w:t>
      </w:r>
      <w:r>
        <w:rPr>
          <w:rFonts w:ascii="Times New Roman" w:cs="Times New Roman" w:eastAsia="Times New Roman" w:hAnsi="Times New Roman"/>
          <w:sz w:val="13"/>
          <w:szCs w:val="13"/>
          <w:color w:val="auto"/>
        </w:rPr>
        <w:t>” means the shares of Common Stock issuable upon the exercise of the Pre-Funded Warrants.</w:t>
      </w:r>
    </w:p>
    <w:p>
      <w:pPr>
        <w:spacing w:after="0" w:line="153" w:lineRule="exact"/>
        <w:rPr>
          <w:rFonts w:ascii="Times New Roman" w:cs="Times New Roman" w:eastAsia="Times New Roman" w:hAnsi="Times New Roman"/>
          <w:sz w:val="13"/>
          <w:szCs w:val="13"/>
          <w:b w:val="1"/>
          <w:bCs w:val="1"/>
          <w:color w:val="auto"/>
        </w:rPr>
      </w:pPr>
    </w:p>
    <w:p>
      <w:pPr>
        <w:ind w:left="640" w:right="979" w:firstLine="693"/>
        <w:spacing w:after="0" w:line="257" w:lineRule="auto"/>
        <w:tabs>
          <w:tab w:leader="none" w:pos="1515"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26" w:lineRule="exact"/>
        <w:rPr>
          <w:rFonts w:ascii="Times New Roman" w:cs="Times New Roman" w:eastAsia="Times New Roman" w:hAnsi="Times New Roman"/>
          <w:sz w:val="13"/>
          <w:szCs w:val="13"/>
          <w:b w:val="1"/>
          <w:bCs w:val="1"/>
          <w:color w:val="auto"/>
        </w:rPr>
      </w:pPr>
    </w:p>
    <w:p>
      <w:pPr>
        <w:ind w:left="1520" w:hanging="187"/>
        <w:spacing w:after="0"/>
        <w:tabs>
          <w:tab w:leader="none" w:pos="152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 means, collectively, the Units, the Shares, the Warrant Shares and the Warrants.</w:t>
      </w:r>
    </w:p>
    <w:p>
      <w:pPr>
        <w:spacing w:after="0" w:line="153" w:lineRule="exact"/>
        <w:rPr>
          <w:rFonts w:ascii="Times New Roman" w:cs="Times New Roman" w:eastAsia="Times New Roman" w:hAnsi="Times New Roman"/>
          <w:sz w:val="13"/>
          <w:szCs w:val="13"/>
          <w:b w:val="1"/>
          <w:bCs w:val="1"/>
          <w:color w:val="auto"/>
        </w:rPr>
      </w:pPr>
    </w:p>
    <w:p>
      <w:pPr>
        <w:ind w:left="1520" w:hanging="187"/>
        <w:spacing w:after="0"/>
        <w:tabs>
          <w:tab w:leader="none" w:pos="1520"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means the shares of Common Stock included in the Units purchased by the Purchasers pursuant to the terms and conditions</w:t>
      </w:r>
    </w:p>
    <w:p>
      <w:pPr>
        <w:spacing w:after="0" w:line="28" w:lineRule="exact"/>
        <w:rPr>
          <w:rFonts w:ascii="Times New Roman" w:cs="Times New Roman" w:eastAsia="Times New Roman" w:hAnsi="Times New Roman"/>
          <w:sz w:val="12"/>
          <w:szCs w:val="12"/>
          <w:b w:val="1"/>
          <w:bCs w:val="1"/>
          <w:color w:val="auto"/>
        </w:rPr>
      </w:pPr>
    </w:p>
    <w:p>
      <w:pPr>
        <w:ind w:left="6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hereof.</w:t>
      </w:r>
    </w:p>
    <w:p>
      <w:pPr>
        <w:spacing w:after="0" w:line="138" w:lineRule="exact"/>
        <w:rPr>
          <w:rFonts w:ascii="Times New Roman" w:cs="Times New Roman" w:eastAsia="Times New Roman" w:hAnsi="Times New Roman"/>
          <w:sz w:val="12"/>
          <w:szCs w:val="12"/>
          <w:b w:val="1"/>
          <w:bCs w:val="1"/>
          <w:color w:val="auto"/>
        </w:rPr>
      </w:pPr>
    </w:p>
    <w:p>
      <w:pPr>
        <w:ind w:left="640" w:right="839" w:firstLine="693"/>
        <w:spacing w:after="0" w:line="250" w:lineRule="auto"/>
        <w:tabs>
          <w:tab w:leader="none" w:pos="1508"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Short Sales</w:t>
      </w:r>
      <w:r>
        <w:rPr>
          <w:rFonts w:ascii="Times New Roman" w:cs="Times New Roman" w:eastAsia="Times New Roman" w:hAnsi="Times New Roman"/>
          <w:sz w:val="13"/>
          <w:szCs w:val="13"/>
          <w:color w:val="auto"/>
        </w:rPr>
        <w:t>” means any short sales including, without limitation, (i) all “short sales” as defined in Rule 200 promulgated under Regulation SHO under the Exchange Act, whether or not against the box, and all types of direct and indirect stock pledges, forward sale contracts, options, puts, calls, swaps, “put equivalent positions” (as defined in Rule 16a-1(h) under the Exchange Act) and similar arrangements (including on a total return basis), and (ii) sales and other transactions through non-U.S. broker-dealers or non-U.S. regulated brokers (but shall not be deemed to include the location and/or reservation of borrowable shares of Common Stock).</w:t>
      </w:r>
    </w:p>
    <w:p>
      <w:pPr>
        <w:spacing w:after="0" w:line="131" w:lineRule="exact"/>
        <w:rPr>
          <w:rFonts w:ascii="Times New Roman" w:cs="Times New Roman" w:eastAsia="Times New Roman" w:hAnsi="Times New Roman"/>
          <w:sz w:val="13"/>
          <w:szCs w:val="13"/>
          <w:b w:val="1"/>
          <w:bCs w:val="1"/>
          <w:color w:val="auto"/>
        </w:rPr>
      </w:pPr>
    </w:p>
    <w:p>
      <w:pPr>
        <w:ind w:left="640" w:right="799" w:firstLine="693"/>
        <w:spacing w:after="0" w:line="270" w:lineRule="auto"/>
        <w:tabs>
          <w:tab w:leader="none" w:pos="1501"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Standard Settlement Period</w:t>
      </w:r>
      <w:r>
        <w:rPr>
          <w:rFonts w:ascii="Times New Roman" w:cs="Times New Roman" w:eastAsia="Times New Roman" w:hAnsi="Times New Roman"/>
          <w:sz w:val="13"/>
          <w:szCs w:val="13"/>
          <w:color w:val="auto"/>
        </w:rPr>
        <w:t>” means the standard settlement period, expressed in a number of Trading Days, for the Trading Market with respect to the Common Stock.</w:t>
      </w:r>
    </w:p>
    <w:p>
      <w:pPr>
        <w:spacing w:after="0" w:line="118" w:lineRule="exact"/>
        <w:rPr>
          <w:rFonts w:ascii="Times New Roman" w:cs="Times New Roman" w:eastAsia="Times New Roman" w:hAnsi="Times New Roman"/>
          <w:sz w:val="13"/>
          <w:szCs w:val="13"/>
          <w:b w:val="1"/>
          <w:bCs w:val="1"/>
          <w:color w:val="auto"/>
        </w:rPr>
      </w:pPr>
    </w:p>
    <w:p>
      <w:pPr>
        <w:ind w:left="640" w:right="659" w:firstLine="693"/>
        <w:spacing w:after="0" w:line="257" w:lineRule="auto"/>
        <w:tabs>
          <w:tab w:leader="none" w:pos="1494"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Stockholder Approval</w:t>
      </w:r>
      <w:r>
        <w:rPr>
          <w:rFonts w:ascii="Times New Roman" w:cs="Times New Roman" w:eastAsia="Times New Roman" w:hAnsi="Times New Roman"/>
          <w:sz w:val="13"/>
          <w:szCs w:val="13"/>
          <w:color w:val="auto"/>
        </w:rPr>
        <w:t>” means such approval as may be required by the applicable rules and regulations of The Nasdaq Capital Market (or any successor entity) from the stockholders of the Company with respect to the issuance of all of the Common Warrants and the Common Warrant Shares issuable upon the exercise thereof.</w:t>
      </w:r>
    </w:p>
    <w:p>
      <w:pPr>
        <w:spacing w:after="0" w:line="126" w:lineRule="exact"/>
        <w:rPr>
          <w:rFonts w:ascii="Times New Roman" w:cs="Times New Roman" w:eastAsia="Times New Roman" w:hAnsi="Times New Roman"/>
          <w:sz w:val="13"/>
          <w:szCs w:val="13"/>
          <w:b w:val="1"/>
          <w:bCs w:val="1"/>
          <w:color w:val="auto"/>
        </w:rPr>
      </w:pPr>
    </w:p>
    <w:p>
      <w:pPr>
        <w:ind w:left="1520" w:hanging="187"/>
        <w:spacing w:after="0"/>
        <w:tabs>
          <w:tab w:leader="none" w:pos="1520"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Stockholder Approval Date</w:t>
      </w:r>
      <w:r>
        <w:rPr>
          <w:rFonts w:ascii="Times New Roman" w:cs="Times New Roman" w:eastAsia="Times New Roman" w:hAnsi="Times New Roman"/>
          <w:sz w:val="12"/>
          <w:szCs w:val="12"/>
          <w:color w:val="auto"/>
        </w:rPr>
        <w:t>” means the date on which Stockholder Approval is received and deemed effective under Delaware law.</w:t>
      </w:r>
    </w:p>
    <w:p>
      <w:pPr>
        <w:spacing w:after="0" w:line="165" w:lineRule="exact"/>
        <w:rPr>
          <w:rFonts w:ascii="Times New Roman" w:cs="Times New Roman" w:eastAsia="Times New Roman" w:hAnsi="Times New Roman"/>
          <w:sz w:val="12"/>
          <w:szCs w:val="12"/>
          <w:b w:val="1"/>
          <w:bCs w:val="1"/>
          <w:color w:val="auto"/>
        </w:rPr>
      </w:pPr>
    </w:p>
    <w:p>
      <w:pPr>
        <w:ind w:left="640" w:right="859" w:firstLine="693"/>
        <w:spacing w:after="0" w:line="257" w:lineRule="auto"/>
        <w:tabs>
          <w:tab w:leader="none" w:pos="1515"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any individual or entity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26" w:lineRule="exact"/>
        <w:rPr>
          <w:rFonts w:ascii="Times New Roman" w:cs="Times New Roman" w:eastAsia="Times New Roman" w:hAnsi="Times New Roman"/>
          <w:sz w:val="13"/>
          <w:szCs w:val="13"/>
          <w:b w:val="1"/>
          <w:bCs w:val="1"/>
          <w:color w:val="auto"/>
        </w:rPr>
      </w:pPr>
    </w:p>
    <w:p>
      <w:pPr>
        <w:ind w:left="1540" w:hanging="207"/>
        <w:spacing w:after="0"/>
        <w:tabs>
          <w:tab w:leader="none" w:pos="154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means a day on which the Trading Market is open for trading.</w:t>
      </w:r>
    </w:p>
    <w:p>
      <w:pPr>
        <w:spacing w:after="0" w:line="153" w:lineRule="exact"/>
        <w:rPr>
          <w:rFonts w:ascii="Times New Roman" w:cs="Times New Roman" w:eastAsia="Times New Roman" w:hAnsi="Times New Roman"/>
          <w:sz w:val="13"/>
          <w:szCs w:val="13"/>
          <w:b w:val="1"/>
          <w:bCs w:val="1"/>
          <w:color w:val="auto"/>
        </w:rPr>
      </w:pPr>
    </w:p>
    <w:p>
      <w:pPr>
        <w:ind w:left="1520" w:hanging="187"/>
        <w:spacing w:after="0"/>
        <w:tabs>
          <w:tab w:leader="none" w:pos="152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Market</w:t>
      </w:r>
      <w:r>
        <w:rPr>
          <w:rFonts w:ascii="Times New Roman" w:cs="Times New Roman" w:eastAsia="Times New Roman" w:hAnsi="Times New Roman"/>
          <w:sz w:val="13"/>
          <w:szCs w:val="13"/>
          <w:color w:val="auto"/>
        </w:rPr>
        <w:t>” means The Nasdaq Capital Market.</w:t>
      </w:r>
    </w:p>
    <w:p>
      <w:pPr>
        <w:spacing w:after="0" w:line="153" w:lineRule="exact"/>
        <w:rPr>
          <w:rFonts w:ascii="Times New Roman" w:cs="Times New Roman" w:eastAsia="Times New Roman" w:hAnsi="Times New Roman"/>
          <w:sz w:val="13"/>
          <w:szCs w:val="13"/>
          <w:b w:val="1"/>
          <w:bCs w:val="1"/>
          <w:color w:val="auto"/>
        </w:rPr>
      </w:pPr>
    </w:p>
    <w:p>
      <w:pPr>
        <w:ind w:left="1520" w:hanging="187"/>
        <w:spacing w:after="0"/>
        <w:tabs>
          <w:tab w:leader="none" w:pos="1520" w:val="left"/>
        </w:tabs>
        <w:numPr>
          <w:ilvl w:val="0"/>
          <w:numId w:val="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means the Pre-Funded Warrants, Series A Warrants and Series B Warrants.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57" w:name="page58"/>
    <w:bookmarkEnd w:id="57"/>
    <w:p>
      <w:pPr>
        <w:ind w:left="1500" w:hanging="167"/>
        <w:spacing w:after="0"/>
        <w:tabs>
          <w:tab w:leader="none" w:pos="1500" w:val="left"/>
        </w:tabs>
        <w:numPr>
          <w:ilvl w:val="0"/>
          <w:numId w:val="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Warrant Shares</w:t>
      </w:r>
      <w:r>
        <w:rPr>
          <w:rFonts w:ascii="Times New Roman" w:cs="Times New Roman" w:eastAsia="Times New Roman" w:hAnsi="Times New Roman"/>
          <w:sz w:val="13"/>
          <w:szCs w:val="13"/>
          <w:color w:val="auto"/>
        </w:rPr>
        <w:t>” means the Common Warrant Shares and the Pre-Funded Warrant Shares.</w:t>
      </w:r>
    </w:p>
    <w:p>
      <w:pPr>
        <w:spacing w:after="0" w:line="154" w:lineRule="exact"/>
        <w:rPr>
          <w:sz w:val="20"/>
          <w:szCs w:val="20"/>
          <w:color w:val="auto"/>
        </w:rPr>
      </w:pPr>
    </w:p>
    <w:p>
      <w:pPr>
        <w:ind w:left="640" w:right="699" w:firstLine="693"/>
        <w:spacing w:after="0" w:line="248" w:lineRule="auto"/>
        <w:tabs>
          <w:tab w:leader="none" w:pos="1578" w:val="left"/>
        </w:tabs>
        <w:numPr>
          <w:ilvl w:val="0"/>
          <w:numId w:val="7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Variable Rate Transaction</w:t>
      </w:r>
      <w:r>
        <w:rPr>
          <w:rFonts w:ascii="Times New Roman" w:cs="Times New Roman" w:eastAsia="Times New Roman" w:hAnsi="Times New Roman"/>
          <w:sz w:val="13"/>
          <w:szCs w:val="13"/>
          <w:color w:val="auto"/>
        </w:rPr>
        <w:t>” means a transaction in which the Company issues or sells: (i) any debt or equity securities that are convertible into, exchangeable or exercisable for, or include the right to receive additional shares of Common Stock either (A) at a conversion, exercise, or exchange rate or other price that is based upon and/or varies with the trading prices of or quotations for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sell securities at a future determined price.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3. CLOSING, CLOSING CONDITIONS AND CLOSING DELIVERIES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3.1 Closing</w:t>
      </w:r>
      <w:r>
        <w:rPr>
          <w:rFonts w:ascii="Times New Roman" w:cs="Times New Roman" w:eastAsia="Times New Roman" w:hAnsi="Times New Roman"/>
          <w:sz w:val="13"/>
          <w:szCs w:val="13"/>
          <w:color w:val="auto"/>
        </w:rPr>
        <w:t>. The closing of the purchase and sale of the Units pursuant to this Agreement (the “</w:t>
      </w:r>
      <w:r>
        <w:rPr>
          <w:rFonts w:ascii="Times New Roman" w:cs="Times New Roman" w:eastAsia="Times New Roman" w:hAnsi="Times New Roman"/>
          <w:sz w:val="13"/>
          <w:szCs w:val="13"/>
          <w:b w:val="1"/>
          <w:bCs w:val="1"/>
          <w:i w:val="1"/>
          <w:iCs w:val="1"/>
          <w:color w:val="auto"/>
        </w:rPr>
        <w:t>Closing</w:t>
      </w:r>
      <w:r>
        <w:rPr>
          <w:rFonts w:ascii="Times New Roman" w:cs="Times New Roman" w:eastAsia="Times New Roman" w:hAnsi="Times New Roman"/>
          <w:sz w:val="13"/>
          <w:szCs w:val="13"/>
          <w:color w:val="auto"/>
        </w:rPr>
        <w:t>”) shall occur on June 25, 2026, subject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satisfaction or waiver of all of the conditions set forth in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and the delivery of all of the closing deliveries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(such date, the “</w:t>
      </w:r>
      <w:r>
        <w:rPr>
          <w:rFonts w:ascii="Times New Roman" w:cs="Times New Roman" w:eastAsia="Times New Roman" w:hAnsi="Times New Roman"/>
          <w:sz w:val="13"/>
          <w:szCs w:val="13"/>
          <w:b w:val="1"/>
          <w:bCs w:val="1"/>
          <w:i w:val="1"/>
          <w:iCs w:val="1"/>
          <w:color w:val="auto"/>
        </w:rPr>
        <w:t>Closing Date</w:t>
      </w:r>
      <w:r>
        <w:rPr>
          <w:rFonts w:ascii="Times New Roman" w:cs="Times New Roman" w:eastAsia="Times New Roman" w:hAnsi="Times New Roman"/>
          <w:sz w:val="13"/>
          <w:szCs w:val="13"/>
          <w:color w:val="auto"/>
        </w:rPr>
        <w:t>”), remotely via the exchange of executed documents and funds at 11:00am (New York City Time), or at such other time and place as may be agreed to by the Company and the Purchasers.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3.2 Closing Conditions.</w:t>
      </w:r>
    </w:p>
    <w:p>
      <w:pPr>
        <w:spacing w:after="0" w:line="156" w:lineRule="exact"/>
        <w:rPr>
          <w:sz w:val="20"/>
          <w:szCs w:val="20"/>
          <w:color w:val="auto"/>
        </w:rPr>
      </w:pPr>
    </w:p>
    <w:p>
      <w:pPr>
        <w:ind w:left="640" w:right="859" w:firstLine="693"/>
        <w:spacing w:after="0" w:line="255" w:lineRule="auto"/>
        <w:tabs>
          <w:tab w:leader="none" w:pos="1515" w:val="left"/>
        </w:tabs>
        <w:numPr>
          <w:ilvl w:val="0"/>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Mutual Closing Condition</w:t>
      </w:r>
      <w:r>
        <w:rPr>
          <w:rFonts w:ascii="Times New Roman" w:cs="Times New Roman" w:eastAsia="Times New Roman" w:hAnsi="Times New Roman"/>
          <w:sz w:val="13"/>
          <w:szCs w:val="13"/>
          <w:color w:val="auto"/>
        </w:rPr>
        <w:t>.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30" w:lineRule="exact"/>
        <w:rPr>
          <w:rFonts w:ascii="Times New Roman" w:cs="Times New Roman" w:eastAsia="Times New Roman" w:hAnsi="Times New Roman"/>
          <w:sz w:val="13"/>
          <w:szCs w:val="13"/>
          <w:b w:val="1"/>
          <w:bCs w:val="1"/>
          <w:color w:val="auto"/>
        </w:rPr>
      </w:pPr>
    </w:p>
    <w:p>
      <w:pPr>
        <w:ind w:left="640" w:right="679" w:firstLine="693"/>
        <w:spacing w:after="0" w:line="267" w:lineRule="auto"/>
        <w:tabs>
          <w:tab w:leader="none" w:pos="1522" w:val="left"/>
        </w:tabs>
        <w:numPr>
          <w:ilvl w:val="0"/>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Conditions to Purchaser’s Obligations</w:t>
      </w:r>
      <w:r>
        <w:rPr>
          <w:rFonts w:ascii="Times New Roman" w:cs="Times New Roman" w:eastAsia="Times New Roman" w:hAnsi="Times New Roman"/>
          <w:sz w:val="13"/>
          <w:szCs w:val="13"/>
          <w:color w:val="auto"/>
        </w:rPr>
        <w:t>. Each Purchaser’s obligation to purchase the Units at the Closing is subject to the fulfillment, on or before the Closing, of each of the following conditions, unless waived:</w:t>
      </w:r>
    </w:p>
    <w:p>
      <w:pPr>
        <w:spacing w:after="0" w:line="122" w:lineRule="exact"/>
        <w:rPr>
          <w:rFonts w:ascii="Times New Roman" w:cs="Times New Roman" w:eastAsia="Times New Roman" w:hAnsi="Times New Roman"/>
          <w:sz w:val="13"/>
          <w:szCs w:val="13"/>
          <w:b w:val="1"/>
          <w:bCs w:val="1"/>
          <w:color w:val="auto"/>
        </w:rPr>
      </w:pPr>
    </w:p>
    <w:p>
      <w:pPr>
        <w:ind w:left="640" w:right="759" w:firstLine="1003"/>
        <w:spacing w:after="0" w:line="249" w:lineRule="auto"/>
        <w:tabs>
          <w:tab w:leader="none" w:pos="1796" w:val="left"/>
        </w:tabs>
        <w:numPr>
          <w:ilvl w:val="1"/>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Company’s representations and warranties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shall be true and correct in all material respects at the Closing Date (or, to the extent representations or warranties are qualified by materiality or Material Adverse Effect, in all respects), with the same force and effect as if they had been made on and as of the Closing Date, except to the extent any such representation or warranty expressly speaks as of an earlier date, in which case such representation or warranty shall be true and correct in all material respects as of such earlier date (or, to the extent representations or warranties are qualified by materiality or Material Adverse Effect, in all respects).</w:t>
      </w:r>
    </w:p>
    <w:p>
      <w:pPr>
        <w:spacing w:after="0" w:line="134" w:lineRule="exact"/>
        <w:rPr>
          <w:rFonts w:ascii="Times New Roman" w:cs="Times New Roman" w:eastAsia="Times New Roman" w:hAnsi="Times New Roman"/>
          <w:sz w:val="13"/>
          <w:szCs w:val="13"/>
          <w:b w:val="1"/>
          <w:bCs w:val="1"/>
          <w:color w:val="auto"/>
        </w:rPr>
      </w:pPr>
    </w:p>
    <w:p>
      <w:pPr>
        <w:ind w:left="640" w:right="759" w:firstLine="1003"/>
        <w:spacing w:after="0" w:line="267" w:lineRule="auto"/>
        <w:tabs>
          <w:tab w:leader="none" w:pos="1831" w:val="left"/>
        </w:tabs>
        <w:numPr>
          <w:ilvl w:val="1"/>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shall have performed and complied with in all material respects all agreements and conditions herein required to be performed or complied with by the Company on or before the Closing, or any breach or failure to do so has been cured.</w:t>
      </w:r>
    </w:p>
    <w:p>
      <w:pPr>
        <w:spacing w:after="0" w:line="122" w:lineRule="exact"/>
        <w:rPr>
          <w:rFonts w:ascii="Times New Roman" w:cs="Times New Roman" w:eastAsia="Times New Roman" w:hAnsi="Times New Roman"/>
          <w:sz w:val="13"/>
          <w:szCs w:val="13"/>
          <w:b w:val="1"/>
          <w:bCs w:val="1"/>
          <w:color w:val="auto"/>
        </w:rPr>
      </w:pPr>
    </w:p>
    <w:p>
      <w:pPr>
        <w:ind w:left="1860" w:hanging="217"/>
        <w:spacing w:after="0"/>
        <w:tabs>
          <w:tab w:leader="none" w:pos="1860" w:val="left"/>
        </w:tabs>
        <w:numPr>
          <w:ilvl w:val="1"/>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There shall have been no Material Adverse Effect with respect to the Company since the date hereof.</w:t>
      </w:r>
    </w:p>
    <w:p>
      <w:pPr>
        <w:spacing w:after="0" w:line="153" w:lineRule="exact"/>
        <w:rPr>
          <w:rFonts w:ascii="Times New Roman" w:cs="Times New Roman" w:eastAsia="Times New Roman" w:hAnsi="Times New Roman"/>
          <w:sz w:val="13"/>
          <w:szCs w:val="13"/>
          <w:b w:val="1"/>
          <w:bCs w:val="1"/>
          <w:color w:val="auto"/>
        </w:rPr>
      </w:pPr>
    </w:p>
    <w:p>
      <w:pPr>
        <w:ind w:left="640" w:right="699" w:firstLine="1003"/>
        <w:spacing w:after="0" w:line="248" w:lineRule="auto"/>
        <w:tabs>
          <w:tab w:leader="none" w:pos="1859" w:val="left"/>
        </w:tabs>
        <w:numPr>
          <w:ilvl w:val="1"/>
          <w:numId w:val="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From the date hereof to the Closing Date, trading in the Common Stock shall not have been suspended by the Commission or the Trading Market, nor shall suspension have been threatened either (A) in writing by the Commission or the Trading Market or (B) by falling below the minimum maintenance requirements of the Trading Market, in each case, except as disclosed in the SEC Documents (as defined below) and, at any time prior to the Closing Date, trading in securities generally as reported by Bloomberg L.P. shall not have been suspended or limited, or minimum prices shall not have been established on securities whose trades are reported by such service, or on the Trading Market, nor shall a banking moratorium have been declared by the United States or New York authorities.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58" w:name="page59"/>
    <w:bookmarkEnd w:id="58"/>
    <w:p>
      <w:pPr>
        <w:ind w:left="640" w:right="939" w:firstLine="1003"/>
        <w:spacing w:after="0" w:line="255" w:lineRule="auto"/>
        <w:tabs>
          <w:tab w:leader="none" w:pos="1824" w:val="left"/>
        </w:tabs>
        <w:numPr>
          <w:ilvl w:val="1"/>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have filed with the Trading Market a Listing of Additional Shares notification form for the listing of the Shares and the applicable Warrant Shares. No objection shall have been raised by the Trading Market with respect to the consummation of the transactions contemplated by this Agreement.</w:t>
      </w:r>
    </w:p>
    <w:p>
      <w:pPr>
        <w:spacing w:after="0" w:line="130" w:lineRule="exact"/>
        <w:rPr>
          <w:rFonts w:ascii="Times New Roman" w:cs="Times New Roman" w:eastAsia="Times New Roman" w:hAnsi="Times New Roman"/>
          <w:sz w:val="13"/>
          <w:szCs w:val="13"/>
          <w:b w:val="1"/>
          <w:bCs w:val="1"/>
          <w:color w:val="auto"/>
        </w:rPr>
      </w:pPr>
    </w:p>
    <w:p>
      <w:pPr>
        <w:ind w:left="1860" w:hanging="217"/>
        <w:spacing w:after="0"/>
        <w:tabs>
          <w:tab w:leader="none" w:pos="1860" w:val="left"/>
        </w:tabs>
        <w:numPr>
          <w:ilvl w:val="1"/>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shall have delivered the closing deliverables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to the Purchasers and Placement Agents.</w:t>
      </w:r>
    </w:p>
    <w:p>
      <w:pPr>
        <w:spacing w:after="0" w:line="153" w:lineRule="exact"/>
        <w:rPr>
          <w:rFonts w:ascii="Times New Roman" w:cs="Times New Roman" w:eastAsia="Times New Roman" w:hAnsi="Times New Roman"/>
          <w:sz w:val="13"/>
          <w:szCs w:val="13"/>
          <w:b w:val="1"/>
          <w:bCs w:val="1"/>
          <w:color w:val="auto"/>
        </w:rPr>
      </w:pPr>
    </w:p>
    <w:p>
      <w:pPr>
        <w:ind w:left="640" w:right="779" w:firstLine="1003"/>
        <w:spacing w:after="0" w:line="255" w:lineRule="auto"/>
        <w:tabs>
          <w:tab w:leader="none" w:pos="1894" w:val="left"/>
        </w:tabs>
        <w:numPr>
          <w:ilvl w:val="1"/>
          <w:numId w:val="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shall have obtained any and all consents, permits, approvals, registrations and waivers necessary for the consummation of the purchase and sale of the Securities and the consummation of the other transactions contemplated by this Agreement, all of which shall be in full force and effect.</w:t>
      </w:r>
    </w:p>
    <w:p>
      <w:pPr>
        <w:spacing w:after="0" w:line="130" w:lineRule="exact"/>
        <w:rPr>
          <w:rFonts w:ascii="Times New Roman" w:cs="Times New Roman" w:eastAsia="Times New Roman" w:hAnsi="Times New Roman"/>
          <w:sz w:val="13"/>
          <w:szCs w:val="13"/>
          <w:b w:val="1"/>
          <w:bCs w:val="1"/>
          <w:color w:val="auto"/>
        </w:rPr>
      </w:pPr>
    </w:p>
    <w:p>
      <w:pPr>
        <w:ind w:left="640" w:right="699" w:firstLine="693"/>
        <w:spacing w:after="0" w:line="267" w:lineRule="auto"/>
        <w:tabs>
          <w:tab w:leader="none" w:pos="1508"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u w:val="single" w:color="auto"/>
          <w:color w:val="auto"/>
        </w:rPr>
        <w:t>Conditions to the Company’s Obligations</w:t>
      </w:r>
      <w:r>
        <w:rPr>
          <w:rFonts w:ascii="Times New Roman" w:cs="Times New Roman" w:eastAsia="Times New Roman" w:hAnsi="Times New Roman"/>
          <w:sz w:val="13"/>
          <w:szCs w:val="13"/>
          <w:color w:val="auto"/>
        </w:rPr>
        <w:t>. The Company’s obligation to issue and sell the Units at the Closing to a Purchaser is subject to the fulfillment, on or before the Closing, of each of the following conditions, unless waived:</w:t>
      </w:r>
    </w:p>
    <w:p>
      <w:pPr>
        <w:spacing w:after="0" w:line="122" w:lineRule="exact"/>
        <w:rPr>
          <w:rFonts w:ascii="Times New Roman" w:cs="Times New Roman" w:eastAsia="Times New Roman" w:hAnsi="Times New Roman"/>
          <w:sz w:val="13"/>
          <w:szCs w:val="13"/>
          <w:b w:val="1"/>
          <w:bCs w:val="1"/>
          <w:color w:val="auto"/>
        </w:rPr>
      </w:pPr>
    </w:p>
    <w:p>
      <w:pPr>
        <w:ind w:left="640" w:right="799" w:firstLine="1003"/>
        <w:spacing w:after="0" w:line="249" w:lineRule="auto"/>
        <w:tabs>
          <w:tab w:leader="none" w:pos="1796" w:val="left"/>
        </w:tabs>
        <w:numPr>
          <w:ilvl w:val="1"/>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Such Purchaser’s representations and warranties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shall be true and correct in all material respects (or, to the extent such representations and warranties are qualified by materiality, in all respects) at the date of the Closing, with the same force and effect as if they had been made on and as of said date, except to the extent any such representation or warranty expressly speaks as of an earlier date, in which case such representation or warranty shall be true and correct in all material respects (or, to the extent such representations and warranties are qualified by materiality, in all respects) as of such earlier date.</w:t>
      </w:r>
    </w:p>
    <w:p>
      <w:pPr>
        <w:spacing w:after="0" w:line="134" w:lineRule="exact"/>
        <w:rPr>
          <w:rFonts w:ascii="Times New Roman" w:cs="Times New Roman" w:eastAsia="Times New Roman" w:hAnsi="Times New Roman"/>
          <w:sz w:val="13"/>
          <w:szCs w:val="13"/>
          <w:b w:val="1"/>
          <w:bCs w:val="1"/>
          <w:color w:val="auto"/>
        </w:rPr>
      </w:pPr>
    </w:p>
    <w:p>
      <w:pPr>
        <w:ind w:left="640" w:right="699" w:firstLine="1003"/>
        <w:spacing w:after="0" w:line="267" w:lineRule="auto"/>
        <w:tabs>
          <w:tab w:leader="none" w:pos="1831" w:val="left"/>
        </w:tabs>
        <w:numPr>
          <w:ilvl w:val="1"/>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22" w:lineRule="exact"/>
        <w:rPr>
          <w:rFonts w:ascii="Times New Roman" w:cs="Times New Roman" w:eastAsia="Times New Roman" w:hAnsi="Times New Roman"/>
          <w:sz w:val="13"/>
          <w:szCs w:val="13"/>
          <w:b w:val="1"/>
          <w:bCs w:val="1"/>
          <w:color w:val="auto"/>
        </w:rPr>
      </w:pPr>
    </w:p>
    <w:p>
      <w:pPr>
        <w:ind w:left="1860" w:hanging="217"/>
        <w:spacing w:after="0"/>
        <w:tabs>
          <w:tab w:leader="none" w:pos="1860" w:val="left"/>
        </w:tabs>
        <w:numPr>
          <w:ilvl w:val="1"/>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Such Purchaser shall have delivered the closing deliverables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to the Company.</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3.3 Closing Deliverables.</w:t>
      </w:r>
    </w:p>
    <w:p>
      <w:pPr>
        <w:spacing w:after="0" w:line="154" w:lineRule="exact"/>
        <w:rPr>
          <w:sz w:val="20"/>
          <w:szCs w:val="20"/>
          <w:color w:val="auto"/>
        </w:rPr>
      </w:pPr>
    </w:p>
    <w:p>
      <w:pPr>
        <w:ind w:left="640" w:right="659" w:firstLine="693"/>
        <w:spacing w:after="0" w:line="270" w:lineRule="auto"/>
        <w:tabs>
          <w:tab w:leader="none" w:pos="1515" w:val="left"/>
        </w:tabs>
        <w:numPr>
          <w:ilvl w:val="1"/>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of the Purchase Price at Closing</w:t>
      </w:r>
      <w:r>
        <w:rPr>
          <w:rFonts w:ascii="Times New Roman" w:cs="Times New Roman" w:eastAsia="Times New Roman" w:hAnsi="Times New Roman"/>
          <w:sz w:val="12"/>
          <w:szCs w:val="12"/>
          <w:color w:val="auto"/>
        </w:rPr>
        <w:t>. At the Closing, each Purchaser shall deliver, or cause to be delivered, to the Company,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amount equal to such Purchaser’s aggregate Purchase Price as set forth on </w:t>
      </w:r>
      <w:r>
        <w:rPr>
          <w:rFonts w:ascii="Times New Roman" w:cs="Times New Roman" w:eastAsia="Times New Roman" w:hAnsi="Times New Roman"/>
          <w:sz w:val="12"/>
          <w:szCs w:val="12"/>
          <w:u w:val="single" w:color="auto"/>
          <w:color w:val="auto"/>
        </w:rPr>
        <w:t>Schedule A hereto</w:t>
      </w:r>
      <w:r>
        <w:rPr>
          <w:rFonts w:ascii="Times New Roman" w:cs="Times New Roman" w:eastAsia="Times New Roman" w:hAnsi="Times New Roman"/>
          <w:sz w:val="12"/>
          <w:szCs w:val="12"/>
          <w:color w:val="auto"/>
        </w:rPr>
        <w:t xml:space="preserve"> by wire transfer of immediately available funds to the Company’s account pursuant to wire instructions set forth in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Each Purchaser’s obligations to pay the Purchase Price shall be several and not joint. If a Purchaser informs the Company (i) that it is an investment company registered under the Investment Company Act of 1940, as amended,</w:t>
      </w:r>
    </w:p>
    <w:p>
      <w:pPr>
        <w:ind w:left="640" w:right="979" w:hanging="3"/>
        <w:spacing w:after="0" w:line="244" w:lineRule="auto"/>
        <w:tabs>
          <w:tab w:leader="none" w:pos="826"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it is advised by an investment adviser subject to regulation under the Investment Advisers Act of 1940, as amended, or (iii) that its internal compliance policies and procedures so require it, then (1) prior to the delivery by such Purchaser of its Purchase Price, the Company shall deliver evidence of the issuance of the Shares from the Company’s transfer agent as described below in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and (2) following receipt of such evidence, such Purchaser shall deliver at the Closing its Purchase Price.</w:t>
      </w:r>
    </w:p>
    <w:p>
      <w:pPr>
        <w:spacing w:after="0" w:line="135" w:lineRule="exact"/>
        <w:rPr>
          <w:rFonts w:ascii="Times New Roman" w:cs="Times New Roman" w:eastAsia="Times New Roman" w:hAnsi="Times New Roman"/>
          <w:sz w:val="13"/>
          <w:szCs w:val="13"/>
          <w:color w:val="auto"/>
        </w:rPr>
      </w:pPr>
    </w:p>
    <w:p>
      <w:pPr>
        <w:ind w:left="640" w:right="699" w:firstLine="693"/>
        <w:spacing w:after="0" w:line="270" w:lineRule="auto"/>
        <w:tabs>
          <w:tab w:leader="none" w:pos="1522" w:val="left"/>
        </w:tabs>
        <w:numPr>
          <w:ilvl w:val="1"/>
          <w:numId w:val="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Issuance of the Shares at the Closing</w:t>
      </w:r>
      <w:r>
        <w:rPr>
          <w:rFonts w:ascii="Times New Roman" w:cs="Times New Roman" w:eastAsia="Times New Roman" w:hAnsi="Times New Roman"/>
          <w:sz w:val="12"/>
          <w:szCs w:val="12"/>
          <w:color w:val="auto"/>
        </w:rPr>
        <w:t>. At the Closing, the Company shall issue, or cause the Company’s transfer agent to issue,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each Purchaser in global form through a book-entry account maintained by the Company’s transfer agent the number of Shares included in the Units purchased by such Purchaser, as set forth in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at the Closing against payment by such Purchaser of the Purchase Price (including providing a copy of the irrevocable instructions delivered by the Company to the Company’s transfer agent instructing the transfer agent to issue such Shares to the Purchaser (or its nominee in accordance with such Purchaser’s delivery instructions) by crediting such Shares to the Purchaser’s account (or the account of its nominee in accordance with such Purchaser’s delivery instructions) on the transfer agent’s book-entry system on the Closing Date and confirmation from the transfer agent that such Shares were so issued on the date thereof, or if requested by such Purchaser, a copy of the book-entry statement reflecting the issuance of such Shares). Such Shares shall be appropriately legended as set forth in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herein.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59" w:name="page60"/>
    <w:bookmarkEnd w:id="59"/>
    <w:p>
      <w:pPr>
        <w:ind w:left="640" w:right="719" w:firstLine="693"/>
        <w:spacing w:after="0" w:line="257" w:lineRule="auto"/>
        <w:tabs>
          <w:tab w:leader="none" w:pos="1508"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Issuance of the Pre-Funded Warrants at the Closing</w:t>
      </w:r>
      <w:r>
        <w:rPr>
          <w:rFonts w:ascii="Times New Roman" w:cs="Times New Roman" w:eastAsia="Times New Roman" w:hAnsi="Times New Roman"/>
          <w:sz w:val="13"/>
          <w:szCs w:val="13"/>
          <w:color w:val="auto"/>
        </w:rPr>
        <w:t>. At the Closing, if applicable, the Company will deliver or cause to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delivered to each Purchaser (or such Purchaser’s designated custodian per its delivery instructions) copies of the Pre-Funded Warrants purchased by the Purchaser, registered in such Purchaser’s name. Such delivery shall be against payment of the Purchase Price therefor.</w:t>
      </w:r>
    </w:p>
    <w:p>
      <w:pPr>
        <w:spacing w:after="0" w:line="126" w:lineRule="exact"/>
        <w:rPr>
          <w:rFonts w:ascii="Times New Roman" w:cs="Times New Roman" w:eastAsia="Times New Roman" w:hAnsi="Times New Roman"/>
          <w:sz w:val="13"/>
          <w:szCs w:val="13"/>
          <w:b w:val="1"/>
          <w:bCs w:val="1"/>
          <w:color w:val="auto"/>
        </w:rPr>
      </w:pPr>
    </w:p>
    <w:p>
      <w:pPr>
        <w:ind w:left="640" w:right="799" w:firstLine="693"/>
        <w:spacing w:after="0" w:line="248" w:lineRule="auto"/>
        <w:tabs>
          <w:tab w:leader="none" w:pos="1522"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 Certificate</w:t>
      </w:r>
      <w:r>
        <w:rPr>
          <w:rFonts w:ascii="Times New Roman" w:cs="Times New Roman" w:eastAsia="Times New Roman" w:hAnsi="Times New Roman"/>
          <w:sz w:val="13"/>
          <w:szCs w:val="13"/>
          <w:color w:val="auto"/>
        </w:rPr>
        <w:t>. At the Closing, each of the Purchasers and Placement Agents shall have received a certificate signed by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Secretary of the Company, in form and substance reasonably satisfactory to the Purchasers and Placement Agents, (i) certifying the resolutions of the Board of Directors of the Company or a duly authorized committee thereof approving this Agreement and all of the transactions contemplated hereunder, (ii) certifying the current versions of the Company’s Certificate of Incorporation and Bylaws (each as defined herein) and (iii) attaching a certificate evidencing the good standing of the Company in Delaware issued by the Secretary of State of Delaware, as of a date within five Business Days of the Closing Date.</w:t>
      </w:r>
    </w:p>
    <w:p>
      <w:pPr>
        <w:spacing w:after="0" w:line="134" w:lineRule="exact"/>
        <w:rPr>
          <w:rFonts w:ascii="Times New Roman" w:cs="Times New Roman" w:eastAsia="Times New Roman" w:hAnsi="Times New Roman"/>
          <w:sz w:val="13"/>
          <w:szCs w:val="13"/>
          <w:b w:val="1"/>
          <w:bCs w:val="1"/>
          <w:color w:val="auto"/>
        </w:rPr>
      </w:pPr>
    </w:p>
    <w:p>
      <w:pPr>
        <w:jc w:val="both"/>
        <w:ind w:left="640" w:right="799" w:firstLine="693"/>
        <w:spacing w:after="0" w:line="257" w:lineRule="auto"/>
        <w:tabs>
          <w:tab w:leader="none" w:pos="1508"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Compliance Certificate</w:t>
      </w:r>
      <w:r>
        <w:rPr>
          <w:rFonts w:ascii="Times New Roman" w:cs="Times New Roman" w:eastAsia="Times New Roman" w:hAnsi="Times New Roman"/>
          <w:sz w:val="13"/>
          <w:szCs w:val="13"/>
          <w:color w:val="auto"/>
        </w:rPr>
        <w:t>. At the Closing, each of the Purchasers and Placement Agents shall have received a certificate, in form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substance reasonably satisfactory to the Purchasers and the Placement Agents, signed by the Chief Executive Officer of the Company certifying to the fulfillment of the conditions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(b).</w:t>
      </w:r>
    </w:p>
    <w:p>
      <w:pPr>
        <w:spacing w:after="0" w:line="126" w:lineRule="exact"/>
        <w:rPr>
          <w:rFonts w:ascii="Times New Roman" w:cs="Times New Roman" w:eastAsia="Times New Roman" w:hAnsi="Times New Roman"/>
          <w:sz w:val="13"/>
          <w:szCs w:val="13"/>
          <w:b w:val="1"/>
          <w:bCs w:val="1"/>
          <w:color w:val="auto"/>
        </w:rPr>
      </w:pPr>
    </w:p>
    <w:p>
      <w:pPr>
        <w:ind w:left="640" w:right="659" w:firstLine="693"/>
        <w:spacing w:after="0" w:line="257" w:lineRule="auto"/>
        <w:tabs>
          <w:tab w:leader="none" w:pos="1494"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Opinion</w:t>
      </w:r>
      <w:r>
        <w:rPr>
          <w:rFonts w:ascii="Times New Roman" w:cs="Times New Roman" w:eastAsia="Times New Roman" w:hAnsi="Times New Roman"/>
          <w:sz w:val="13"/>
          <w:szCs w:val="13"/>
          <w:color w:val="auto"/>
        </w:rPr>
        <w:t>. At the Closing, each of the Purchasers and the Placement Agents shall have received an opinion covering the securities issued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 Closing Date (the “</w:t>
      </w:r>
      <w:r>
        <w:rPr>
          <w:rFonts w:ascii="Times New Roman" w:cs="Times New Roman" w:eastAsia="Times New Roman" w:hAnsi="Times New Roman"/>
          <w:sz w:val="13"/>
          <w:szCs w:val="13"/>
          <w:b w:val="1"/>
          <w:bCs w:val="1"/>
          <w:i w:val="1"/>
          <w:iCs w:val="1"/>
          <w:color w:val="auto"/>
        </w:rPr>
        <w:t>Opinion</w:t>
      </w:r>
      <w:r>
        <w:rPr>
          <w:rFonts w:ascii="Times New Roman" w:cs="Times New Roman" w:eastAsia="Times New Roman" w:hAnsi="Times New Roman"/>
          <w:sz w:val="13"/>
          <w:szCs w:val="13"/>
          <w:color w:val="auto"/>
        </w:rPr>
        <w:t>”) of Cooley LLP, counsel for the Company, dated as of the Closing Date, in a form reasonably satisfactory to the Purchasers and the Placement Agents.</w:t>
      </w:r>
    </w:p>
    <w:p>
      <w:pPr>
        <w:spacing w:after="0" w:line="126" w:lineRule="exact"/>
        <w:rPr>
          <w:rFonts w:ascii="Times New Roman" w:cs="Times New Roman" w:eastAsia="Times New Roman" w:hAnsi="Times New Roman"/>
          <w:sz w:val="13"/>
          <w:szCs w:val="13"/>
          <w:b w:val="1"/>
          <w:bCs w:val="1"/>
          <w:color w:val="auto"/>
        </w:rPr>
      </w:pPr>
    </w:p>
    <w:p>
      <w:pPr>
        <w:ind w:left="640" w:right="679" w:firstLine="693"/>
        <w:spacing w:after="0" w:line="252" w:lineRule="auto"/>
        <w:tabs>
          <w:tab w:leader="none" w:pos="1515"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Lock-up Agreements</w:t>
      </w:r>
      <w:r>
        <w:rPr>
          <w:rFonts w:ascii="Times New Roman" w:cs="Times New Roman" w:eastAsia="Times New Roman" w:hAnsi="Times New Roman"/>
          <w:sz w:val="13"/>
          <w:szCs w:val="13"/>
          <w:color w:val="auto"/>
        </w:rPr>
        <w:t>. At the Closing, each of the Purchasers and Placement Agents shall have received executed lock-up agreements,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dated as of the date hereof, by and among the Company and the directors and executive officers of the Company, all of whom are listed on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hereto, in the form attached hereto as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D&amp;O Lock-up</w:t>
      </w:r>
      <w:r>
        <w:rPr>
          <w:rFonts w:ascii="Times New Roman" w:cs="Times New Roman" w:eastAsia="Times New Roman" w:hAnsi="Times New Roman"/>
          <w:sz w:val="13"/>
          <w:szCs w:val="13"/>
          <w:color w:val="auto"/>
        </w:rPr>
        <w:t>”), which lock-up agreement may only be waived by the Company upon receipt of written consent of the lead Placement Agent.</w:t>
      </w:r>
    </w:p>
    <w:p>
      <w:pPr>
        <w:spacing w:after="0" w:line="130" w:lineRule="exact"/>
        <w:rPr>
          <w:rFonts w:ascii="Times New Roman" w:cs="Times New Roman" w:eastAsia="Times New Roman" w:hAnsi="Times New Roman"/>
          <w:sz w:val="13"/>
          <w:szCs w:val="13"/>
          <w:b w:val="1"/>
          <w:bCs w:val="1"/>
          <w:color w:val="auto"/>
        </w:rPr>
      </w:pPr>
    </w:p>
    <w:p>
      <w:pPr>
        <w:ind w:left="640" w:right="739" w:firstLine="693"/>
        <w:spacing w:after="0" w:line="270" w:lineRule="auto"/>
        <w:tabs>
          <w:tab w:leader="none" w:pos="1522"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Documents</w:t>
      </w:r>
      <w:r>
        <w:rPr>
          <w:rFonts w:ascii="Times New Roman" w:cs="Times New Roman" w:eastAsia="Times New Roman" w:hAnsi="Times New Roman"/>
          <w:sz w:val="13"/>
          <w:szCs w:val="13"/>
          <w:color w:val="auto"/>
        </w:rPr>
        <w:t>. At the Closing, each Purchaser shall have delivered to the Company any other documents reasonably requested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order to effect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-1184275</wp:posOffset>
            </wp:positionV>
            <wp:extent cx="11366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3665" cy="5715"/>
                    </a:xfrm>
                    <a:prstGeom prst="rect">
                      <a:avLst/>
                    </a:prstGeom>
                    <a:noFill/>
                  </pic:spPr>
                </pic:pic>
              </a:graphicData>
            </a:graphic>
          </wp:anchor>
        </w:drawing>
      </w:r>
    </w:p>
    <w:p>
      <w:pPr>
        <w:spacing w:after="0" w:line="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3.4 Post-Closing Deliverables.</w:t>
      </w:r>
    </w:p>
    <w:p>
      <w:pPr>
        <w:spacing w:after="0" w:line="154" w:lineRule="exact"/>
        <w:rPr>
          <w:sz w:val="20"/>
          <w:szCs w:val="20"/>
          <w:color w:val="auto"/>
        </w:rPr>
      </w:pPr>
    </w:p>
    <w:p>
      <w:pPr>
        <w:jc w:val="both"/>
        <w:ind w:left="640" w:right="799" w:firstLine="693"/>
        <w:spacing w:after="0" w:line="257" w:lineRule="auto"/>
        <w:tabs>
          <w:tab w:leader="none" w:pos="1515"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Issuance of the Common Warrants</w:t>
      </w:r>
      <w:r>
        <w:rPr>
          <w:rFonts w:ascii="Times New Roman" w:cs="Times New Roman" w:eastAsia="Times New Roman" w:hAnsi="Times New Roman"/>
          <w:sz w:val="13"/>
          <w:szCs w:val="13"/>
          <w:color w:val="auto"/>
        </w:rPr>
        <w:t>. On the Stockholder Approval Date, the Company will deliver or cause to be delivered to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Purchaser (or such Purchaser’s designated custodian per its delivery instructions) copies of the Series A Warrants and Series B Warrants purchased by the Purchaser, registered in such Purchaser’s name.</w:t>
      </w:r>
    </w:p>
    <w:p>
      <w:pPr>
        <w:spacing w:after="0" w:line="126" w:lineRule="exact"/>
        <w:rPr>
          <w:rFonts w:ascii="Times New Roman" w:cs="Times New Roman" w:eastAsia="Times New Roman" w:hAnsi="Times New Roman"/>
          <w:sz w:val="13"/>
          <w:szCs w:val="13"/>
          <w:b w:val="1"/>
          <w:bCs w:val="1"/>
          <w:color w:val="auto"/>
        </w:rPr>
      </w:pPr>
    </w:p>
    <w:p>
      <w:pPr>
        <w:ind w:left="640" w:right="699" w:firstLine="693"/>
        <w:spacing w:after="0" w:line="257" w:lineRule="auto"/>
        <w:tabs>
          <w:tab w:leader="none" w:pos="1522"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Warrant Opinion</w:t>
      </w:r>
      <w:r>
        <w:rPr>
          <w:rFonts w:ascii="Times New Roman" w:cs="Times New Roman" w:eastAsia="Times New Roman" w:hAnsi="Times New Roman"/>
          <w:sz w:val="13"/>
          <w:szCs w:val="13"/>
          <w:color w:val="auto"/>
        </w:rPr>
        <w:t>. On the Stockholder Approval Date, each of the Purchasers and the Placement Agents shall have received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opinion covering the issuance of the Series A Warrants and Series B Warrants (the “</w:t>
      </w:r>
      <w:r>
        <w:rPr>
          <w:rFonts w:ascii="Times New Roman" w:cs="Times New Roman" w:eastAsia="Times New Roman" w:hAnsi="Times New Roman"/>
          <w:sz w:val="13"/>
          <w:szCs w:val="13"/>
          <w:b w:val="1"/>
          <w:bCs w:val="1"/>
          <w:i w:val="1"/>
          <w:iCs w:val="1"/>
          <w:color w:val="auto"/>
        </w:rPr>
        <w:t>Warrant Opinion</w:t>
      </w:r>
      <w:r>
        <w:rPr>
          <w:rFonts w:ascii="Times New Roman" w:cs="Times New Roman" w:eastAsia="Times New Roman" w:hAnsi="Times New Roman"/>
          <w:sz w:val="13"/>
          <w:szCs w:val="13"/>
          <w:color w:val="auto"/>
        </w:rPr>
        <w:t>”) of Cooley LLP, counsel for the Company, dated as of the Stockholder Approval Date, in a form reasonably satisfactory to the Purchasers and the Placement Agents.</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4. REPRESENTATIONS, WARRANTIES AND COVENANTS OF THE COMPANY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disclosed in the SEC Documents (as defined below) prior to the Effective Date and only as and to the extent disclosed therein, the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 hereby represents, warrants and covenants to each of the Purchasers and Placement Agents as follows:</w:t>
      </w:r>
    </w:p>
    <w:p>
      <w:pPr>
        <w:spacing w:after="0" w:line="139" w:lineRule="exact"/>
        <w:rPr>
          <w:sz w:val="20"/>
          <w:szCs w:val="20"/>
          <w:color w:val="auto"/>
        </w:rPr>
      </w:pPr>
    </w:p>
    <w:p>
      <w:pPr>
        <w:ind w:left="640" w:right="77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4.1 Organization and Standing; Subsidiaries</w:t>
      </w:r>
      <w:r>
        <w:rPr>
          <w:rFonts w:ascii="Times New Roman" w:cs="Times New Roman" w:eastAsia="Times New Roman" w:hAnsi="Times New Roman"/>
          <w:sz w:val="13"/>
          <w:szCs w:val="13"/>
          <w:color w:val="auto"/>
        </w:rPr>
        <w:t>. The Company has been duly incorporated or organized and is validly existing and in good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standing under the laws of Delaware or other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60" w:name="page61"/>
    <w:bookmarkEnd w:id="60"/>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directly or through subsidiaries, all of the issued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132" w:lineRule="exact"/>
        <w:rPr>
          <w:sz w:val="20"/>
          <w:szCs w:val="20"/>
          <w:color w:val="auto"/>
        </w:rPr>
      </w:pPr>
    </w:p>
    <w:p>
      <w:pPr>
        <w:ind w:left="640" w:right="759" w:firstLine="309"/>
        <w:spacing w:after="0" w:line="269" w:lineRule="auto"/>
        <w:rPr>
          <w:sz w:val="20"/>
          <w:szCs w:val="20"/>
          <w:color w:val="auto"/>
        </w:rPr>
      </w:pPr>
      <w:r>
        <w:rPr>
          <w:rFonts w:ascii="Times New Roman" w:cs="Times New Roman" w:eastAsia="Times New Roman" w:hAnsi="Times New Roman"/>
          <w:sz w:val="12"/>
          <w:szCs w:val="12"/>
          <w:b w:val="1"/>
          <w:bCs w:val="1"/>
          <w:color w:val="auto"/>
        </w:rPr>
        <w:t>4.2 Corporate Power; Authorization</w:t>
      </w:r>
      <w:r>
        <w:rPr>
          <w:rFonts w:ascii="Times New Roman" w:cs="Times New Roman" w:eastAsia="Times New Roman" w:hAnsi="Times New Roman"/>
          <w:sz w:val="12"/>
          <w:szCs w:val="12"/>
          <w:color w:val="auto"/>
        </w:rPr>
        <w:t>. The Company has the requisite corporate power and authority, and the Company and its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have taken all requisite corporate action, to authorize, execute and deliver this Agreement and the Warrants, to consummate the transactions contemplated herein and therein, including to sell, issue and deliver the Securities to the Purchasers, and to carry out and perform all of the Company’s obligations hereunder and thereunder and no further action is required by the Company, the Board of Directors or the Company’s stockholders in connection herewith or therewith other than in connection with the Stockholder Approval and the payments of the exercise price with respect to the Warrants. This Agreement has been duly authorized, executed and delivered by the Company and, assuming the due authorization, execution and delivery by the Purchasers,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24"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b w:val="1"/>
          <w:bCs w:val="1"/>
          <w:color w:val="auto"/>
        </w:rPr>
        <w:t>4.3 Issuance and Delivery of the Securities</w:t>
      </w:r>
      <w:r>
        <w:rPr>
          <w:rFonts w:ascii="Times New Roman" w:cs="Times New Roman" w:eastAsia="Times New Roman" w:hAnsi="Times New Roman"/>
          <w:sz w:val="12"/>
          <w:szCs w:val="12"/>
          <w:color w:val="auto"/>
        </w:rPr>
        <w:t>. The Shares have been duly authorized and, when issued and paid for in compliance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provisions of this Agreement, will be validly issued, fully paid and nonassessable. The Warrants have been duly authorized by the Company and when executed and delivered by the Company in accordance with this Agreement and the applicable Warrant, as the case may be,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issuance and delivery of the Shares or Pre-Funded Warrants is not subject to preemptive, co-sale, right of first refusal or any other similar rights of the stockholders of the Company or any other Person or any liens, encumbrances or restrictions, other than encumbrances under applicable securities laws. The issuance and delivery of the Common Warrants is not subject to preemptive, co-sale, right of first refusal or any other similar rights of the stockholders of the Company, except the Stockholder Approval, or any other Person or any liens, encumbrances or restrictions, other than encumbrances under applicable securities laws. The Pre-Funded Warrant Shares have been duly authorized and reserved for issuance and, when issued and delivered upon valid exercise of the Pre-Funded Warrants in accordance therewith, will be validly issued, fully paid and nonassessable, and not subject to preemptive, co-sale, right of first refusal or any other similar rights of the stockholders of the Company or any other Person or any liens, encumbrances or restrictions, other than encumbrances under applicable securities laws or the Warrants. The Common Warrant Shares, following the Stockholder Approval, have been duly authorized and reserved for issuance and, when issued and delivered upon valid exercise of the Common Warrants in accordance therewith, will be validly issued, fully paid and nonassessable, and not subject to preemptive, co-sale, right of first refusal or any other similar rights of the stockholders of the Company or any other Person or any liens, encumbrances or restrictions, other than encumbrances under applicable securities laws or the Warrants. Assuming the accuracy of the representations made by the Purchasers in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the offer and issuance by the Company of the Securities is exempt from registration under the Securities Act.</w:t>
      </w:r>
    </w:p>
    <w:p>
      <w:pPr>
        <w:spacing w:after="0" w:line="281"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4.4 SEC Documents; Financial Statements; Independent Accountants</w:t>
      </w:r>
      <w:r>
        <w:rPr>
          <w:rFonts w:ascii="Times New Roman" w:cs="Times New Roman" w:eastAsia="Times New Roman" w:hAnsi="Times New Roman"/>
          <w:sz w:val="13"/>
          <w:szCs w:val="13"/>
          <w:color w:val="auto"/>
        </w:rPr>
        <w:t>. The Company is subject to the reporting requirements of the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Exchange Act of 1934, as amended (the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and has filed or furnished or will file or furnish in a timely manner all reports, schedules, forms, statements and other documents that the Company was or is required to file with the Commission under either the Securities Act or the Exchange Act, for the one year preceding the date hereof (the foregoing documents (together with any documents filed by the Company under the Securities Act or Exchange Act, whether or not required), and in each case including all exhibits and schedules thereto and documents incorporated by reference therein and including all registration statements and prospectuses filed with the Commission, but excluding any information for which the Company has received confidential treatment from the Commission, being collectively referred to herein as the “</w:t>
      </w:r>
      <w:r>
        <w:rPr>
          <w:rFonts w:ascii="Times New Roman" w:cs="Times New Roman" w:eastAsia="Times New Roman" w:hAnsi="Times New Roman"/>
          <w:sz w:val="13"/>
          <w:szCs w:val="13"/>
          <w:b w:val="1"/>
          <w:bCs w:val="1"/>
          <w:i w:val="1"/>
          <w:iCs w:val="1"/>
          <w:color w:val="auto"/>
        </w:rPr>
        <w:t>SEC Documents</w:t>
      </w:r>
      <w:r>
        <w:rPr>
          <w:rFonts w:ascii="Times New Roman" w:cs="Times New Roman" w:eastAsia="Times New Roman" w:hAnsi="Times New Roman"/>
          <w:sz w:val="13"/>
          <w:szCs w:val="13"/>
          <w:color w:val="auto"/>
        </w:rPr>
        <w:t>”). As of their respective filing or furnishing dates (or, if amended prior to the date of this Agreement, when amended), all SEC Documents (including any audited or unaudited financial statements and any notes thereto or schedules included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61" w:name="page62"/>
    <w:bookmarkEnd w:id="61"/>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therein) complied in all material respects with the requirements of the Securities Act or the Exchange Act, as the case may be, and the rules and regulations of the Commission promulgated thereunder. None of the SEC Documents as of their respective filing or furnishing dates contained any untrue statement of material fact or omitted to state a material fact required to be stated therein or necessary to make the statements made therein, in light of the circumstances under which they were made, not misleading. There are no material outstanding or unresolved comments in comment letters from the staff of the Division of Corporation Finance of the Commission with respect to any SEC Documents. The financial statements (including the notes thereto) of the Company (other than any pro forma financial statements included in any SEC Document) set forth in the SEC Documents (the “</w:t>
      </w:r>
      <w:r>
        <w:rPr>
          <w:rFonts w:ascii="Times New Roman" w:cs="Times New Roman" w:eastAsia="Times New Roman" w:hAnsi="Times New Roman"/>
          <w:sz w:val="13"/>
          <w:szCs w:val="13"/>
          <w:b w:val="1"/>
          <w:bCs w:val="1"/>
          <w:i w:val="1"/>
          <w:iCs w:val="1"/>
          <w:color w:val="auto"/>
        </w:rPr>
        <w:t>Financial Statements</w:t>
      </w:r>
      <w:r>
        <w:rPr>
          <w:rFonts w:ascii="Times New Roman" w:cs="Times New Roman" w:eastAsia="Times New Roman" w:hAnsi="Times New Roman"/>
          <w:sz w:val="13"/>
          <w:szCs w:val="13"/>
          <w:color w:val="auto"/>
        </w:rPr>
        <w:t>”) comply in all material respects with applicable accounting requirements and with the published rules and regulations of the Commission with respect thereto. The Financial Statements have been prepared in accordance with GAAP consistently applied (except as may otherwise be specified in such Financial Statements or the notes thereto and except that unaudited financial statements may not contain all footnotes required by GAAP) during the periods involved and fairly present, in all material respects, the financial position of the Company at the dates thereof and the results of its operations and cash flows for the periods then ended (subject, in the case of unaudited statements, to normal recurring adjustments). Except as set forth in the Financial Statements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accountants who certified the Financial Statements are independent public accountants as required by the Securities Act and the Exchange Act and the regulations thereunder and the Public Company Accounting Oversight Board.</w:t>
      </w:r>
    </w:p>
    <w:p>
      <w:pPr>
        <w:spacing w:after="0" w:line="134" w:lineRule="exact"/>
        <w:rPr>
          <w:sz w:val="20"/>
          <w:szCs w:val="20"/>
          <w:color w:val="auto"/>
        </w:rPr>
      </w:pPr>
    </w:p>
    <w:p>
      <w:pPr>
        <w:ind w:left="640" w:right="679" w:firstLine="309"/>
        <w:spacing w:after="0" w:line="244" w:lineRule="auto"/>
        <w:rPr>
          <w:sz w:val="20"/>
          <w:szCs w:val="20"/>
          <w:color w:val="auto"/>
        </w:rPr>
      </w:pPr>
      <w:r>
        <w:rPr>
          <w:rFonts w:ascii="Times New Roman" w:cs="Times New Roman" w:eastAsia="Times New Roman" w:hAnsi="Times New Roman"/>
          <w:sz w:val="13"/>
          <w:szCs w:val="13"/>
          <w:b w:val="1"/>
          <w:bCs w:val="1"/>
          <w:color w:val="auto"/>
        </w:rPr>
        <w:t>4.5 Capitalization</w:t>
      </w:r>
      <w:r>
        <w:rPr>
          <w:rFonts w:ascii="Times New Roman" w:cs="Times New Roman" w:eastAsia="Times New Roman" w:hAnsi="Times New Roman"/>
          <w:sz w:val="13"/>
          <w:szCs w:val="13"/>
          <w:color w:val="auto"/>
        </w:rPr>
        <w:t>. The authorized capital stock of the Company consists of 500,000,000 shares of Common Stock and 10,000,000 shares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As set forth in the SEC Documents as of the date set forth therein, all of the Company’s outstanding shares of capital stock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and equity compensation awards issued by the Company in the ordinary course of business since March 31, 2026, there are no existing options, restricted stock units, pre-funded warrants, warrants, calls, subscriptions or other rights, agreements, arrangements or commitments of any character, relating to the issued or unissued capital stock of the Company, obligating the Company to issue, transfer, sell, redeem, purchase, repurchase or otherwise acquire or cause to be issued, transferred, sold, redeemed, purchased, repurchased or otherwise acquired any capital stock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Except as pursuant to the Loan Agreement, neither the execution of this Agreement nor the issuance of Common Stock or other securities pursuant to any provision of this Agreement or the Warrants will give rise to any preemptive rights or rights of first refusal on behalf of any Person or result in the triggering of any anti-dilution or other similar rights (including a rights distribution under any “poison pill” plan or similar arrangement). Other than the Common Stock, there are no other shares of any other class or series of capital stock of the Company issued or outstanding. The Company’s amended and restated certificate of incorporation, as amended and as in effect on the date hereof (the “</w:t>
      </w:r>
      <w:r>
        <w:rPr>
          <w:rFonts w:ascii="Times New Roman" w:cs="Times New Roman" w:eastAsia="Times New Roman" w:hAnsi="Times New Roman"/>
          <w:sz w:val="13"/>
          <w:szCs w:val="13"/>
          <w:b w:val="1"/>
          <w:bCs w:val="1"/>
          <w:i w:val="1"/>
          <w:iCs w:val="1"/>
          <w:color w:val="auto"/>
        </w:rPr>
        <w:t>Certificate of Incorporation</w:t>
      </w:r>
      <w:r>
        <w:rPr>
          <w:rFonts w:ascii="Times New Roman" w:cs="Times New Roman" w:eastAsia="Times New Roman" w:hAnsi="Times New Roman"/>
          <w:sz w:val="13"/>
          <w:szCs w:val="13"/>
          <w:color w:val="auto"/>
        </w:rPr>
        <w:t>”), and the Company’s amended and restated bylaws, as in effect on the date hereof (the “</w:t>
      </w:r>
      <w:r>
        <w:rPr>
          <w:rFonts w:ascii="Times New Roman" w:cs="Times New Roman" w:eastAsia="Times New Roman" w:hAnsi="Times New Roman"/>
          <w:sz w:val="13"/>
          <w:szCs w:val="13"/>
          <w:b w:val="1"/>
          <w:bCs w:val="1"/>
          <w:i w:val="1"/>
          <w:iCs w:val="1"/>
          <w:color w:val="auto"/>
        </w:rPr>
        <w:t>Bylaws</w:t>
      </w:r>
      <w:r>
        <w:rPr>
          <w:rFonts w:ascii="Times New Roman" w:cs="Times New Roman" w:eastAsia="Times New Roman" w:hAnsi="Times New Roman"/>
          <w:sz w:val="13"/>
          <w:szCs w:val="13"/>
          <w:color w:val="auto"/>
        </w:rPr>
        <w:t>”), are included in the SEC Documents, and the Company shall not amend or otherwise modify the Certificate of Incorporation or Bylaws prior to the earlier of the Closing or the termination of this Agreement in accordance with its terms. There are no voting agreements, buy-sell agreements, option or right of first purchase agreements or other agreements of any kind, except as pursuant to the Loan Agreement, among the Company and any of the security holders of the Company relating to the securities of the Company held by them.</w:t>
      </w:r>
    </w:p>
    <w:p>
      <w:pPr>
        <w:spacing w:after="0" w:line="145"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4.6 Litigation</w:t>
      </w:r>
      <w:r>
        <w:rPr>
          <w:rFonts w:ascii="Times New Roman" w:cs="Times New Roman" w:eastAsia="Times New Roman" w:hAnsi="Times New Roman"/>
          <w:sz w:val="13"/>
          <w:szCs w:val="13"/>
          <w:color w:val="auto"/>
        </w:rPr>
        <w:t>. There are no legal, governmental or regulatory actions, suits, investigations, charges, claims, complaints, audits, inquiries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proceedings pending or, to the Knowledge of the Company, threatened against the Company or any of its subsidiaries, before or by any court, regulatory body or administrative agency or any other governmental agency or body, domestic or foreign, which actions, suits or proceedings, individually or in the aggregate, would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court, regulatory body, administrative agency or other governmental agency or body that might have a Material Adverse Effect. The Commission has not issued any stop order or other order suspending the effectiveness of any registration statement filed by the Company under the Securities Act or the Exchange Act.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62" w:name="page63"/>
    <w:bookmarkEnd w:id="62"/>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4.7 Governmental Consents</w:t>
      </w:r>
      <w:r>
        <w:rPr>
          <w:rFonts w:ascii="Times New Roman" w:cs="Times New Roman" w:eastAsia="Times New Roman" w:hAnsi="Times New Roman"/>
          <w:sz w:val="13"/>
          <w:szCs w:val="13"/>
          <w:color w:val="auto"/>
        </w:rPr>
        <w:t>. No consent, approval, order or authorization of, or registration, qualification, designation, declaration or filing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federal, state, or local governmental authority or the Trading Market on the part of the Company is required in connection with the consummation of the transactions contemplated by this Agreement except for, if applicable, the filing of a Form D with the Commission under the Securities Act, the notice to the Trading Market for the issuance and sale of the Securities and the listing of the Shares and Warrant Shares for trading thereon in the time and manner required thereby, the Stockholder Approval, the filing of the Secondary Registration Statement with the Commission as contemplated herein and compliance with the securities and blue sky laws in the states and other jurisdictions in which shares of Common Stock are offered and/or sold, which compliance will be effected by the Company in accordance with such laws.</w:t>
      </w:r>
    </w:p>
    <w:p>
      <w:pPr>
        <w:spacing w:after="0" w:line="132"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t>4.8 No Default or Consents</w:t>
      </w:r>
      <w:r>
        <w:rPr>
          <w:rFonts w:ascii="Times New Roman" w:cs="Times New Roman" w:eastAsia="Times New Roman" w:hAnsi="Times New Roman"/>
          <w:sz w:val="13"/>
          <w:szCs w:val="13"/>
          <w:color w:val="auto"/>
        </w:rPr>
        <w:t>. Neither the Company nor any of its subsidiaries, is in violation or default under its organizational documents.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Neither the execution, delivery or performance of this Agreement or the Warrants by the Company nor the consummation of any of the transactions contemplated hereby or thereby (including the issuance, sale and delivery by the Company of the Securities)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Certificate of Incorporation or the Bylaws, except in the case of clause (i) as would not cause, either individually or in the aggregate, a Material Adverse Effect, and except for such consents or waivers which have already been obtained and are in full force and effect.</w:t>
      </w:r>
    </w:p>
    <w:p>
      <w:pPr>
        <w:spacing w:after="0" w:line="139" w:lineRule="exact"/>
        <w:rPr>
          <w:sz w:val="20"/>
          <w:szCs w:val="20"/>
          <w:color w:val="auto"/>
        </w:rPr>
      </w:pPr>
    </w:p>
    <w:p>
      <w:pPr>
        <w:ind w:left="640" w:right="69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4.9 No Material Adverse Change</w:t>
      </w:r>
      <w:r>
        <w:rPr>
          <w:rFonts w:ascii="Times New Roman" w:cs="Times New Roman" w:eastAsia="Times New Roman" w:hAnsi="Times New Roman"/>
          <w:sz w:val="12"/>
          <w:szCs w:val="12"/>
          <w:color w:val="auto"/>
        </w:rPr>
        <w:t>. Since March 31, 2026, except as specifically disclosed in the SEC Documents, there have been no events,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Day prior to the Effective Date.</w:t>
      </w:r>
    </w:p>
    <w:p>
      <w:pPr>
        <w:spacing w:after="0" w:line="116"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4.10 No General Solicitation</w:t>
      </w:r>
      <w:r>
        <w:rPr>
          <w:rFonts w:ascii="Times New Roman" w:cs="Times New Roman" w:eastAsia="Times New Roman" w:hAnsi="Times New Roman"/>
          <w:sz w:val="13"/>
          <w:szCs w:val="13"/>
          <w:color w:val="auto"/>
        </w:rPr>
        <w:t>. Neither the Company, nor any of its Affiliates, nor any Person acting on its or their behalf, has engaged in any form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general solicitation or general advertising (within the meaning of Regulation D promulgated under the Securities Act, including but not limited to in any manner involving a public offering within the meaning of Section 4(a)(2) of the Securities Act) of investors in connection with the offer or sale of the Securities pursuant to this Agreement.</w:t>
      </w:r>
    </w:p>
    <w:p>
      <w:pPr>
        <w:spacing w:after="0" w:line="13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4.11 No Integrated Offering</w:t>
      </w:r>
      <w:r>
        <w:rPr>
          <w:rFonts w:ascii="Times New Roman" w:cs="Times New Roman" w:eastAsia="Times New Roman" w:hAnsi="Times New Roman"/>
          <w:sz w:val="13"/>
          <w:szCs w:val="13"/>
          <w:color w:val="auto"/>
        </w:rPr>
        <w:t>. None of the Company or any of its Affiliates, or any Person acting on its or their behalf has, directly or indirectly,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made any offers or sales of any security (as defined in the Securities Act) or solicited any offers to buy any security, under circumstances that would require registration of any of the Securities under the Securities Act or cause this offering of the Securities to be integrated with prior offerings by the Company for purposes of the Securities Act or any applicable stockholder approval provisions, including under the rules and regulations of the Trading Market, other than the Stockholder Approval. Assuming the accuracy of the representations and warranties of the Purchasers set forth in Section 5,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63" w:name="page64"/>
    <w:bookmarkEnd w:id="63"/>
    <w:p>
      <w:pPr>
        <w:jc w:val="both"/>
        <w:ind w:left="640" w:right="8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4.12 Sarbanes-Oxley Act</w:t>
      </w:r>
      <w:r>
        <w:rPr>
          <w:rFonts w:ascii="Times New Roman" w:cs="Times New Roman" w:eastAsia="Times New Roman" w:hAnsi="Times New Roman"/>
          <w:sz w:val="13"/>
          <w:szCs w:val="13"/>
          <w:color w:val="auto"/>
        </w:rPr>
        <w:t>. The Company is in material compliance with the requirements of the Sarbanes-Oxley Act of 2002 that are effective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applicable to the Company as of the date hereof, and the rules and regulations promulgated by the Commission thereunder that are effective and applicable to the Company as of the date hereof.</w:t>
      </w:r>
    </w:p>
    <w:p>
      <w:pPr>
        <w:spacing w:after="0" w:line="12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t>4.13 Intellectual Property</w:t>
      </w:r>
      <w:r>
        <w:rPr>
          <w:rFonts w:ascii="Times New Roman" w:cs="Times New Roman" w:eastAsia="Times New Roman" w:hAnsi="Times New Roman"/>
          <w:sz w:val="12"/>
          <w:szCs w:val="12"/>
          <w:color w:val="auto"/>
        </w:rPr>
        <w:t>. To the Knowledge of the Company, the Company and its subsidiaries own, possess, license or have rights to use,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2"/>
          <w:szCs w:val="12"/>
          <w:b w:val="1"/>
          <w:bCs w:val="1"/>
          <w:i w:val="1"/>
          <w:iCs w:val="1"/>
          <w:color w:val="auto"/>
        </w:rPr>
        <w:t>Intellectual Property Rights</w:t>
      </w:r>
      <w:r>
        <w:rPr>
          <w:rFonts w:ascii="Times New Roman" w:cs="Times New Roman" w:eastAsia="Times New Roman" w:hAnsi="Times New Roman"/>
          <w:sz w:val="12"/>
          <w:szCs w:val="12"/>
          <w:color w:val="auto"/>
        </w:rPr>
        <w:t>”). Neither the Company nor any of its subsidiaries has received a written notice that the Intellectual Property Rights used by the Company or any subsidiary violates or infringes upon the rights of any Person. To the Knowledge of the Company, (i) all such Intellectual Property Rights are enforceable, (ii) there is no existing infringement by another Person of any of the Intellectual Property Rights and (iii) there is no pending or threatened action, suit, proceeding or claim by others challenging the Company’s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 All material licenses or other material agreements under which the Company is granted rights to intellectual property, if any, are in full force and effect and, to the Knowledge of the Company, there is no material default by any other party thereto. The Company has no reason to believe that the licensors under such licenses and other agreements, if any, do not have and did not have all requisite power and authority to grant the rights to the intellectual property purported to be granted thereby.</w:t>
      </w:r>
    </w:p>
    <w:p>
      <w:pPr>
        <w:spacing w:after="0" w:line="127" w:lineRule="exact"/>
        <w:rPr>
          <w:sz w:val="20"/>
          <w:szCs w:val="20"/>
          <w:color w:val="auto"/>
        </w:rPr>
      </w:pPr>
    </w:p>
    <w:p>
      <w:pPr>
        <w:ind w:left="640" w:right="639" w:firstLine="309"/>
        <w:spacing w:after="0" w:line="269" w:lineRule="auto"/>
        <w:rPr>
          <w:sz w:val="20"/>
          <w:szCs w:val="20"/>
          <w:color w:val="auto"/>
        </w:rPr>
      </w:pPr>
      <w:r>
        <w:rPr>
          <w:rFonts w:ascii="Times New Roman" w:cs="Times New Roman" w:eastAsia="Times New Roman" w:hAnsi="Times New Roman"/>
          <w:sz w:val="12"/>
          <w:szCs w:val="12"/>
          <w:b w:val="1"/>
          <w:bCs w:val="1"/>
          <w:color w:val="auto"/>
        </w:rPr>
        <w:t>4.14 Disclosure</w:t>
      </w:r>
      <w:r>
        <w:rPr>
          <w:rFonts w:ascii="Times New Roman" w:cs="Times New Roman" w:eastAsia="Times New Roman" w:hAnsi="Times New Roman"/>
          <w:sz w:val="12"/>
          <w:szCs w:val="12"/>
          <w:color w:val="auto"/>
        </w:rPr>
        <w:t>. The Company understands and confirms that the Purchasers will rely on the representations, warranties and covenants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in effecting the transactions contemplated by this Agreement. All due diligence materials regarding the Company and its business and the transactions contemplated hereby (including the information referred to in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not misleading. The Company understands and agrees that each Purchaser, in making its decision to enter into this Agreement and purchase its Securities, will rely on such due diligence materials and SEC Documents. The Company confirms that neither it nor any officers or directors has provided any Purchaser or its agents or counsel with any information that constitutes or might constitute material, nonpublic information, other than with respect to the existence of, and the material terms and conditions of, the transactions contemplated by this Agreement. The Company understands and confirms that each of the Purchasers will rely on the foregoing representations in effecting transactions in securities of the Company.</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4.15 Contracts.</w:t>
      </w:r>
    </w:p>
    <w:p>
      <w:pPr>
        <w:spacing w:after="0" w:line="156" w:lineRule="exact"/>
        <w:rPr>
          <w:sz w:val="20"/>
          <w:szCs w:val="20"/>
          <w:color w:val="auto"/>
        </w:rPr>
      </w:pPr>
    </w:p>
    <w:p>
      <w:pPr>
        <w:ind w:left="640" w:right="739" w:firstLine="693"/>
        <w:spacing w:after="0" w:line="255" w:lineRule="auto"/>
        <w:tabs>
          <w:tab w:leader="none" w:pos="1515"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3"/>
          <w:szCs w:val="13"/>
          <w:b w:val="1"/>
          <w:bCs w:val="1"/>
          <w:i w:val="1"/>
          <w:iCs w:val="1"/>
          <w:color w:val="auto"/>
        </w:rPr>
        <w:t>Material Contracts</w:t>
      </w:r>
      <w:r>
        <w:rPr>
          <w:rFonts w:ascii="Times New Roman" w:cs="Times New Roman" w:eastAsia="Times New Roman" w:hAnsi="Times New Roman"/>
          <w:sz w:val="13"/>
          <w:szCs w:val="13"/>
          <w:color w:val="auto"/>
        </w:rPr>
        <w:t>”) is so described, summarized or filed.</w:t>
      </w:r>
    </w:p>
    <w:p>
      <w:pPr>
        <w:spacing w:after="0" w:line="130" w:lineRule="exact"/>
        <w:rPr>
          <w:rFonts w:ascii="Times New Roman" w:cs="Times New Roman" w:eastAsia="Times New Roman" w:hAnsi="Times New Roman"/>
          <w:sz w:val="13"/>
          <w:szCs w:val="13"/>
          <w:b w:val="1"/>
          <w:bCs w:val="1"/>
          <w:color w:val="auto"/>
        </w:rPr>
      </w:pPr>
    </w:p>
    <w:p>
      <w:pPr>
        <w:ind w:left="640" w:right="699" w:firstLine="693"/>
        <w:spacing w:after="0" w:line="246" w:lineRule="auto"/>
        <w:tabs>
          <w:tab w:leader="none" w:pos="1522" w:val="left"/>
        </w:tabs>
        <w:numPr>
          <w:ilvl w:val="0"/>
          <w:numId w:val="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64" w:name="page65"/>
    <w:bookmarkEnd w:id="64"/>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131"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4.16 Properties and Assets</w:t>
      </w:r>
      <w:r>
        <w:rPr>
          <w:rFonts w:ascii="Times New Roman" w:cs="Times New Roman" w:eastAsia="Times New Roman" w:hAnsi="Times New Roman"/>
          <w:sz w:val="13"/>
          <w:szCs w:val="13"/>
          <w:color w:val="auto"/>
        </w:rPr>
        <w:t>. The Company and its subsidiaries have good and marketable title to all the properties and assets described as owned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them in the latest Financial Statements set forth in the SEC Documents, free and clear of all liens, mortgages, pledges or encumbrances of any kind except (a) those, if any, reflected in such Financial Statements or (b) those that are not material in amount and do not adversely affect the use made and proposed to be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35"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b w:val="1"/>
          <w:bCs w:val="1"/>
          <w:color w:val="auto"/>
        </w:rPr>
        <w:t>4.17 Compliance and Regulatory</w:t>
      </w:r>
      <w:r>
        <w:rPr>
          <w:rFonts w:ascii="Times New Roman" w:cs="Times New Roman" w:eastAsia="Times New Roman" w:hAnsi="Times New Roman"/>
          <w:sz w:val="12"/>
          <w:szCs w:val="12"/>
          <w:color w:val="auto"/>
        </w:rPr>
        <w:t>. The Company and its subsidiaries are in compliance in all material respects with all applicable Laws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jurisdictions in which they are conducting their business, including all applicable local, state and federal environmental Laws (including Laws relating to the use, disposal or release of hazardous or toxic substances or relating to the protection or restoration of the environment or human exposure to hazardous or toxic substances), and all applicable Laws enforced by the United States Food and Drug Administration (the “</w:t>
      </w:r>
      <w:r>
        <w:rPr>
          <w:rFonts w:ascii="Times New Roman" w:cs="Times New Roman" w:eastAsia="Times New Roman" w:hAnsi="Times New Roman"/>
          <w:sz w:val="12"/>
          <w:szCs w:val="12"/>
          <w:b w:val="1"/>
          <w:bCs w:val="1"/>
          <w:i w:val="1"/>
          <w:iCs w:val="1"/>
          <w:color w:val="auto"/>
        </w:rPr>
        <w:t>FDA</w:t>
      </w:r>
      <w:r>
        <w:rPr>
          <w:rFonts w:ascii="Times New Roman" w:cs="Times New Roman" w:eastAsia="Times New Roman" w:hAnsi="Times New Roman"/>
          <w:sz w:val="12"/>
          <w:szCs w:val="12"/>
          <w:color w:val="auto"/>
        </w:rPr>
        <w:t>”), (including the Federal Food, Drug And Cosmetic Act, as amended, and the regulations promulgated thereunder) or any applicable laws enforced by equivalent Governmental Entities outside the United States, except where failures to be so in compliance, individually or in the aggregate, would not reasonably be expected to have a Material Adverse Effect. Any preclinical tests and studies or clinical trials conducted by, on behalf of, or sponsored by the Company or any of its subsidiaries (“</w:t>
      </w:r>
      <w:r>
        <w:rPr>
          <w:rFonts w:ascii="Times New Roman" w:cs="Times New Roman" w:eastAsia="Times New Roman" w:hAnsi="Times New Roman"/>
          <w:sz w:val="12"/>
          <w:szCs w:val="12"/>
          <w:b w:val="1"/>
          <w:bCs w:val="1"/>
          <w:i w:val="1"/>
          <w:iCs w:val="1"/>
          <w:color w:val="auto"/>
        </w:rPr>
        <w:t>Studies</w:t>
      </w:r>
      <w:r>
        <w:rPr>
          <w:rFonts w:ascii="Times New Roman" w:cs="Times New Roman" w:eastAsia="Times New Roman" w:hAnsi="Times New Roman"/>
          <w:sz w:val="12"/>
          <w:szCs w:val="12"/>
          <w:color w:val="auto"/>
        </w:rPr>
        <w:t>”), were and, if still ongoing, are being conducted in all material respects in accordance with all applicable laws and regulations governing the conduct of such Studies, the protocols, procedures and controls submitted to the FDA or any foreign Governmental Entity exercising comparable authority (together with the FDA, the “</w:t>
      </w:r>
      <w:r>
        <w:rPr>
          <w:rFonts w:ascii="Times New Roman" w:cs="Times New Roman" w:eastAsia="Times New Roman" w:hAnsi="Times New Roman"/>
          <w:sz w:val="12"/>
          <w:szCs w:val="12"/>
          <w:b w:val="1"/>
          <w:bCs w:val="1"/>
          <w:i w:val="1"/>
          <w:iCs w:val="1"/>
          <w:color w:val="auto"/>
        </w:rPr>
        <w:t>Regulatory Authorities</w:t>
      </w:r>
      <w:r>
        <w:rPr>
          <w:rFonts w:ascii="Times New Roman" w:cs="Times New Roman" w:eastAsia="Times New Roman" w:hAnsi="Times New Roman"/>
          <w:sz w:val="12"/>
          <w:szCs w:val="12"/>
          <w:color w:val="auto"/>
        </w:rPr>
        <w:t>”), and any conditions of approval and policies imposed by any institutional review board, ethics review board or other committee responsible for the oversight of such preclinical tests and studies or clinical trials. The descriptions of the Studies contained in the SEC Documents are accurate in all material respects; to the Knowledge of the Company, there are no other preclinical studies and clinical trials, the results of which are inconsistent with or would call into question the results described in the SEC Documents in any material respect; and neither the Company nor any of its subsidiaries has received any written notice or correspondence from any institutional review board, the FDA or any other Regulatory Authority exercising comparable authority requiring or threatening the termination, suspension, or clinical hold of Studies, where such termination, suspension or clinical hold would reasonably be expected to have a Material Adverse Effect, and to the Knowledge of the Company, there are no reasonable grounds for the same.</w:t>
      </w:r>
    </w:p>
    <w:p>
      <w:pPr>
        <w:spacing w:after="0" w:line="28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4.18 Taxes</w:t>
      </w:r>
      <w:r>
        <w:rPr>
          <w:rFonts w:ascii="Times New Roman" w:cs="Times New Roman" w:eastAsia="Times New Roman" w:hAnsi="Times New Roman"/>
          <w:sz w:val="13"/>
          <w:szCs w:val="13"/>
          <w:color w:val="auto"/>
        </w:rPr>
        <w:t>. The Company and its subsidiaries have filed on a timely basis (giving effect to extensions) all required federal, state and foreign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32" w:lineRule="exact"/>
        <w:rPr>
          <w:sz w:val="20"/>
          <w:szCs w:val="20"/>
          <w:color w:val="auto"/>
        </w:rPr>
      </w:pPr>
    </w:p>
    <w:p>
      <w:pPr>
        <w:ind w:left="640" w:right="9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4.19 Investment Company</w:t>
      </w:r>
      <w:r>
        <w:rPr>
          <w:rFonts w:ascii="Times New Roman" w:cs="Times New Roman" w:eastAsia="Times New Roman" w:hAnsi="Times New Roman"/>
          <w:sz w:val="13"/>
          <w:szCs w:val="13"/>
          <w:color w:val="auto"/>
        </w:rPr>
        <w:t>. The Company is not, and immediately after receipt of payment for the Securities will not be, an “investment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or an “affiliated person” of, or “promoter” or “principal underwriter” for an investment company, within the meaning of the Investment Company Act of 1940, as amended, and the rules and regulations of the Commission promulgated thereunder.</w:t>
      </w:r>
    </w:p>
    <w:p>
      <w:pPr>
        <w:spacing w:after="0" w:line="126"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4.20 Insurance</w:t>
      </w:r>
      <w:r>
        <w:rPr>
          <w:rFonts w:ascii="Times New Roman" w:cs="Times New Roman" w:eastAsia="Times New Roman" w:hAnsi="Times New Roman"/>
          <w:sz w:val="12"/>
          <w:szCs w:val="12"/>
          <w:color w:val="auto"/>
        </w:rPr>
        <w:t>. The Company maintains insurance underwritten by insurers of recognized financial responsibility, of the types and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amounts that the Company reasonably believes is adequate for the businesses of the Company and its subsidiaries, including directors’ and officers’ liability insurance and insurance covering all real and personal property owned or leased by the Company or any of its subsidiaries against theft, damage, destruction, acts of vandalism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65" w:name="page66"/>
    <w:bookmarkEnd w:id="65"/>
    <w:p>
      <w:pPr>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4.21 Price of Common Stock</w:t>
      </w:r>
      <w:r>
        <w:rPr>
          <w:rFonts w:ascii="Times New Roman" w:cs="Times New Roman" w:eastAsia="Times New Roman" w:hAnsi="Times New Roman"/>
          <w:sz w:val="13"/>
          <w:szCs w:val="13"/>
          <w:color w:val="auto"/>
        </w:rPr>
        <w:t>. The Company has not taken, and will not take, and no Person acting on its behalf has taken or will take, directly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indirectly, any action designed to cause or result in, or that has constituted or that might reasonably be expected to constitute, the stabilization or manipulation of the price of any security of the Company to facilitate the sale or resale of the Securities.</w:t>
      </w:r>
    </w:p>
    <w:p>
      <w:pPr>
        <w:spacing w:after="0" w:line="126"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b w:val="1"/>
          <w:bCs w:val="1"/>
          <w:color w:val="auto"/>
        </w:rPr>
        <w:t>4.22 Governmental Permits, Etc</w:t>
      </w:r>
      <w:r>
        <w:rPr>
          <w:rFonts w:ascii="Times New Roman" w:cs="Times New Roman" w:eastAsia="Times New Roman" w:hAnsi="Times New Roman"/>
          <w:sz w:val="12"/>
          <w:szCs w:val="12"/>
          <w:color w:val="auto"/>
        </w:rPr>
        <w:t>. The Company and its subsidiaries have all franchises, licenses, permits, certificates and other authorizations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from such federal, state or local government or governmental agency, department or body that are currently necessary for the operation of their respective businesses as currently conducted, including, without limitation, all such certificates, approvals, authorizations, exemptions, licenses and permits required by the FDA or any other comparable Governmental Entities, including other Regulatory Authorities (collectively, “</w:t>
      </w:r>
      <w:r>
        <w:rPr>
          <w:rFonts w:ascii="Times New Roman" w:cs="Times New Roman" w:eastAsia="Times New Roman" w:hAnsi="Times New Roman"/>
          <w:sz w:val="12"/>
          <w:szCs w:val="12"/>
          <w:b w:val="1"/>
          <w:bCs w:val="1"/>
          <w:i w:val="1"/>
          <w:iCs w:val="1"/>
          <w:color w:val="auto"/>
        </w:rPr>
        <w:t>Permits</w:t>
      </w:r>
      <w:r>
        <w:rPr>
          <w:rFonts w:ascii="Times New Roman" w:cs="Times New Roman" w:eastAsia="Times New Roman" w:hAnsi="Times New Roman"/>
          <w:sz w:val="12"/>
          <w:szCs w:val="12"/>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18" w:lineRule="exact"/>
        <w:rPr>
          <w:sz w:val="20"/>
          <w:szCs w:val="20"/>
          <w:color w:val="auto"/>
        </w:rPr>
      </w:pPr>
    </w:p>
    <w:p>
      <w:pPr>
        <w:ind w:left="640" w:right="75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t>4.23 Internal Control over Financial Reporting; Disclosure Controls</w:t>
      </w:r>
      <w:r>
        <w:rPr>
          <w:rFonts w:ascii="Times New Roman" w:cs="Times New Roman" w:eastAsia="Times New Roman" w:hAnsi="Times New Roman"/>
          <w:sz w:val="12"/>
          <w:szCs w:val="12"/>
          <w:color w:val="auto"/>
        </w:rPr>
        <w:t>. The Company maintains internal control over financial reporting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term is defined in paragraph (f) of Rule 13a-15 under the Exchange Act) as required by Rule 13a-15 under the Exchange Act. Except as disclosed in the SEC Documents,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 The Company’s “disclosure controls and procedures” (as defined in Rule</w:t>
      </w:r>
    </w:p>
    <w:p>
      <w:pPr>
        <w:spacing w:after="0" w:line="3"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13a-15(e) under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Commission, and that all such information is accumulated and communicated to the Company’s management as appropriate to allow timely decisions regarding required disclosure.</w:t>
      </w:r>
    </w:p>
    <w:p>
      <w:pPr>
        <w:spacing w:after="0" w:line="135"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4.24 Foreign Corrupt Practices</w:t>
      </w:r>
      <w:r>
        <w:rPr>
          <w:rFonts w:ascii="Times New Roman" w:cs="Times New Roman" w:eastAsia="Times New Roman" w:hAnsi="Times New Roman"/>
          <w:sz w:val="13"/>
          <w:szCs w:val="13"/>
          <w:color w:val="auto"/>
        </w:rPr>
        <w:t>. Neither the Company nor any of its subsidiaries, nor any director or officer, nor, to the Knowledge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any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the UK Bribery Act 2010 or any similar Law; or (d) made any unlawful bribe, rebate, payoff, influence payment, kickback or other unlawful payment to any foreign or domestic government official or employee.</w:t>
      </w:r>
    </w:p>
    <w:p>
      <w:pPr>
        <w:spacing w:after="0" w:line="132"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4.25 Employee Relations</w:t>
      </w:r>
      <w:r>
        <w:rPr>
          <w:rFonts w:ascii="Times New Roman" w:cs="Times New Roman" w:eastAsia="Times New Roman" w:hAnsi="Times New Roman"/>
          <w:sz w:val="13"/>
          <w:szCs w:val="13"/>
          <w:color w:val="auto"/>
        </w:rPr>
        <w:t>. No material labor dispute with the employees of the Company or any of its subsidiaries, or with the employees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principal supplier, manufacturer, customer or contractor of the Company or any of its subsidiaries, exists or, to the Knowledge of the Company,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34"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4.26 ERISA</w:t>
      </w:r>
      <w:r>
        <w:rPr>
          <w:rFonts w:ascii="Times New Roman" w:cs="Times New Roman" w:eastAsia="Times New Roman" w:hAnsi="Times New Roman"/>
          <w:sz w:val="12"/>
          <w:szCs w:val="12"/>
          <w:color w:val="auto"/>
        </w:rPr>
        <w:t>. The Company and its subsidiaries are in compliance in all material respects with all presently applicable provisions of the Employee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Retirement Income Security Act of 1974, as amended, including the regulations and published interpretations thereunder (“</w:t>
      </w:r>
      <w:r>
        <w:rPr>
          <w:rFonts w:ascii="Times New Roman" w:cs="Times New Roman" w:eastAsia="Times New Roman" w:hAnsi="Times New Roman"/>
          <w:sz w:val="12"/>
          <w:szCs w:val="12"/>
          <w:b w:val="1"/>
          <w:bCs w:val="1"/>
          <w:i w:val="1"/>
          <w:iCs w:val="1"/>
          <w:color w:val="auto"/>
        </w:rPr>
        <w:t>ERISA</w:t>
      </w:r>
      <w:r>
        <w:rPr>
          <w:rFonts w:ascii="Times New Roman" w:cs="Times New Roman" w:eastAsia="Times New Roman" w:hAnsi="Times New Roman"/>
          <w:sz w:val="12"/>
          <w:szCs w:val="12"/>
          <w:color w:val="auto"/>
        </w:rPr>
        <w:t>”); no “reportable event” (as defined in ERISA) has occurred with respect to any “pension plan” (as defined in ERISA) for which the Company or any subsidiary would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66" w:name="page67"/>
    <w:bookmarkEnd w:id="66"/>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have any material liability; neither the Company nor any of its subsidiaries has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132"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4.27 Registration Rights and Other Stockholder Agreements</w:t>
      </w:r>
      <w:r>
        <w:rPr>
          <w:rFonts w:ascii="Times New Roman" w:cs="Times New Roman" w:eastAsia="Times New Roman" w:hAnsi="Times New Roman"/>
          <w:sz w:val="13"/>
          <w:szCs w:val="13"/>
          <w:color w:val="auto"/>
        </w:rPr>
        <w:t>. No Person has any right to cause the Company to effect the registration under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Act covering the transfer of any securities of the Company and there are no other stockholders agreements, voting agreements or other similar agreements with respect to the Company’s capital stock to which the Company is a party or, to the Knowledge of the Company, between or among any of the Company’s stockholders.</w:t>
      </w:r>
    </w:p>
    <w:p>
      <w:pPr>
        <w:spacing w:after="0" w:line="13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t>4.28 OFAC</w:t>
      </w:r>
      <w:r>
        <w:rPr>
          <w:rFonts w:ascii="Times New Roman" w:cs="Times New Roman" w:eastAsia="Times New Roman" w:hAnsi="Times New Roman"/>
          <w:sz w:val="12"/>
          <w:szCs w:val="12"/>
          <w:color w:val="auto"/>
        </w:rPr>
        <w:t>. None of the Company, any of its subsidiaries, any director, officer, nor, to the Knowledge of the Company, any agent, employee,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Affiliate or representative of the Company or any of its subsidiaries is a Person that is,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2"/>
          <w:szCs w:val="12"/>
          <w:b w:val="1"/>
          <w:bCs w:val="1"/>
          <w:i w:val="1"/>
          <w:iCs w:val="1"/>
          <w:color w:val="auto"/>
        </w:rPr>
        <w:t>Sanctions</w:t>
      </w:r>
      <w:r>
        <w:rPr>
          <w:rFonts w:ascii="Times New Roman" w:cs="Times New Roman" w:eastAsia="Times New Roman" w:hAnsi="Times New Roman"/>
          <w:sz w:val="12"/>
          <w:szCs w:val="12"/>
          <w:color w:val="auto"/>
        </w:rPr>
        <w:t>”), nor is the Company located, organized or resident in a country or territory that is the subject of comprehensive country-wide or territory-wide Sanctions; and the Company will not directly or indirectly use the proceeds of the sale of the Securities, or lend, contribute or otherwise make available such proceeds to any subsidiaries, joint venture partners or other Person, to fund any activities of or business (i) with any Person, or in any country or territory, that, at the time of such funding, is a designated target of Sanctions or a country or territory that is the subject of comprehensive country-wide or territory-wide Sanctions, respectively,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 The Company has not knowingly engaged in, are not now knowingly engaged in, and will not engage in, any dealings or transactions with any Person, or in any country or territory, that at the time of the dealing or transaction is or was the subject of Sanctions or a country or territory that is the subject of comprehensive country-wide or territory-wide Sanctions, respectively.</w:t>
      </w:r>
    </w:p>
    <w:p>
      <w:pPr>
        <w:spacing w:after="0" w:line="125"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4.29 Compliance with Anti-Money Laundering Laws</w:t>
      </w:r>
      <w:r>
        <w:rPr>
          <w:rFonts w:ascii="Times New Roman" w:cs="Times New Roman" w:eastAsia="Times New Roman" w:hAnsi="Times New Roman"/>
          <w:sz w:val="13"/>
          <w:szCs w:val="13"/>
          <w:color w:val="auto"/>
        </w:rPr>
        <w:t>. The operations of the Company and its subsidiaries are and have been conducted at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times 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3"/>
          <w:szCs w:val="13"/>
          <w:b w:val="1"/>
          <w:bCs w:val="1"/>
          <w:i w:val="1"/>
          <w:iCs w:val="1"/>
          <w:color w:val="auto"/>
        </w:rPr>
        <w:t>Anti-Money Laundering Laws</w:t>
      </w:r>
      <w:r>
        <w:rPr>
          <w:rFonts w:ascii="Times New Roman" w:cs="Times New Roman" w:eastAsia="Times New Roman" w:hAnsi="Times New Roman"/>
          <w:sz w:val="13"/>
          <w:szCs w:val="13"/>
          <w:color w:val="auto"/>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spacing w:after="0" w:line="132"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4.30 No Additional Agreements</w:t>
      </w:r>
      <w:r>
        <w:rPr>
          <w:rFonts w:ascii="Times New Roman" w:cs="Times New Roman" w:eastAsia="Times New Roman" w:hAnsi="Times New Roman"/>
          <w:sz w:val="13"/>
          <w:szCs w:val="13"/>
          <w:color w:val="auto"/>
        </w:rPr>
        <w:t>. The Company has no other agreements or understandings (including side letters) with any Purchaser 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 Person to purchase Securities on terms more favorable to such Purchaser than as set forth herein.</w:t>
      </w:r>
    </w:p>
    <w:p>
      <w:pPr>
        <w:spacing w:after="0" w:line="119" w:lineRule="exact"/>
        <w:rPr>
          <w:sz w:val="20"/>
          <w:szCs w:val="20"/>
          <w:color w:val="auto"/>
        </w:rPr>
      </w:pPr>
    </w:p>
    <w:p>
      <w:pPr>
        <w:jc w:val="both"/>
        <w:ind w:left="640" w:right="7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4.31 Transactions with Affiliates</w:t>
      </w:r>
      <w:r>
        <w:rPr>
          <w:rFonts w:ascii="Times New Roman" w:cs="Times New Roman" w:eastAsia="Times New Roman" w:hAnsi="Times New Roman"/>
          <w:sz w:val="13"/>
          <w:szCs w:val="13"/>
          <w:color w:val="auto"/>
        </w:rPr>
        <w:t>. Except for the transactions contemplated by this Agreement, none of the officers or directors of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to the Knowledge of the Company, the Company’s stockholders, the officers or directors of any stockholder of the Company, or any family member or affiliate of any of the foregoing, has either directly or indirectly any interest in, or is a party to, any transaction that would be required to be disclosed as a related party transaction pursuant to Item 404 of Regulation S-K promulgated under the Securities Act.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67" w:name="page68"/>
    <w:bookmarkEnd w:id="67"/>
    <w:p>
      <w:pPr>
        <w:ind w:left="640" w:right="659" w:firstLine="309"/>
        <w:spacing w:after="0" w:line="26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4.32 Security</w:t>
      </w:r>
      <w:r>
        <w:rPr>
          <w:rFonts w:ascii="Times New Roman" w:cs="Times New Roman" w:eastAsia="Times New Roman" w:hAnsi="Times New Roman"/>
          <w:sz w:val="12"/>
          <w:szCs w:val="12"/>
          <w:color w:val="auto"/>
        </w:rPr>
        <w:t>. Except as would not reasonably be expected to have a Material Adverse Effect, the Company and its subsidiaries’ information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technology assets and equipment, computers, systems, networks, hardware, software, websites, applications, and databases (collectively, “</w:t>
      </w:r>
      <w:r>
        <w:rPr>
          <w:rFonts w:ascii="Times New Roman" w:cs="Times New Roman" w:eastAsia="Times New Roman" w:hAnsi="Times New Roman"/>
          <w:sz w:val="12"/>
          <w:szCs w:val="12"/>
          <w:b w:val="1"/>
          <w:bCs w:val="1"/>
          <w:i w:val="1"/>
          <w:iCs w:val="1"/>
          <w:color w:val="auto"/>
        </w:rPr>
        <w:t>IT Systems</w:t>
      </w:r>
      <w:r>
        <w:rPr>
          <w:rFonts w:ascii="Times New Roman" w:cs="Times New Roman" w:eastAsia="Times New Roman" w:hAnsi="Times New Roman"/>
          <w:sz w:val="12"/>
          <w:szCs w:val="12"/>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Except as would not reasonably be expected to have a Material Adverse Effect,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2"/>
          <w:szCs w:val="12"/>
          <w:b w:val="1"/>
          <w:bCs w:val="1"/>
          <w:i w:val="1"/>
          <w:iCs w:val="1"/>
          <w:color w:val="auto"/>
        </w:rPr>
        <w:t>Confidential Data</w:t>
      </w:r>
      <w:r>
        <w:rPr>
          <w:rFonts w:ascii="Times New Roman" w:cs="Times New Roman" w:eastAsia="Times New Roman" w:hAnsi="Times New Roman"/>
          <w:sz w:val="12"/>
          <w:szCs w:val="12"/>
          <w:color w:val="auto"/>
        </w:rPr>
        <w:t>”) used or maintained in connection with their businesses and Personal Data (as defined below), and the integrity, availability continuous operation, redundancy and security of all IT Systems. “</w:t>
      </w:r>
      <w:r>
        <w:rPr>
          <w:rFonts w:ascii="Times New Roman" w:cs="Times New Roman" w:eastAsia="Times New Roman" w:hAnsi="Times New Roman"/>
          <w:sz w:val="12"/>
          <w:szCs w:val="12"/>
          <w:b w:val="1"/>
          <w:bCs w:val="1"/>
          <w:i w:val="1"/>
          <w:iCs w:val="1"/>
          <w:color w:val="auto"/>
        </w:rPr>
        <w:t>Personal Data</w:t>
      </w:r>
      <w:r>
        <w:rPr>
          <w:rFonts w:ascii="Times New Roman" w:cs="Times New Roman" w:eastAsia="Times New Roman" w:hAnsi="Times New Roman"/>
          <w:sz w:val="12"/>
          <w:szCs w:val="12"/>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bank information, or customer or account number; (ii) information that identifies, relates to, or may reasonably be used to identify an individual; (iii) any information regarding an individual’s medical history, mental or physical condition, or medical treatment or diagnosis by a health care professional; (iv) an individual’s health insurance policy number or subscriber identification number, any unique identifier used by a health insurer to identify the individual, or any information in an individual’s application and claims history; (v)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2"/>
          <w:szCs w:val="12"/>
          <w:b w:val="1"/>
          <w:bCs w:val="1"/>
          <w:i w:val="1"/>
          <w:iCs w:val="1"/>
          <w:color w:val="auto"/>
        </w:rPr>
        <w:t>HIPAA</w:t>
      </w:r>
      <w:r>
        <w:rPr>
          <w:rFonts w:ascii="Times New Roman" w:cs="Times New Roman" w:eastAsia="Times New Roman" w:hAnsi="Times New Roman"/>
          <w:sz w:val="12"/>
          <w:szCs w:val="12"/>
          <w:color w:val="auto"/>
        </w:rPr>
        <w:t>”); (vi) any information which would qualify as “personal data,” “personal information” (or similar term) under the Privacy Laws (as defined below); and (vii) any other piece of information that alone, or combined with other information, allows the identification of such natural person, or his or her family, or permits the collection or analysis of any data related to an identified person’s health or sexual orientation. Except as would not reasonably be expected to have a Material Adverse Effect, during the past three (3) years, there have been no breaches, outages or unauthorized uses of or accesses to the IT Systems, Confidential Data and Personal Data.</w:t>
      </w:r>
    </w:p>
    <w:p>
      <w:pPr>
        <w:spacing w:after="0" w:line="278"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t>4.33 Compliance with Data Privacy Laws</w:t>
      </w:r>
      <w:r>
        <w:rPr>
          <w:rFonts w:ascii="Times New Roman" w:cs="Times New Roman" w:eastAsia="Times New Roman" w:hAnsi="Times New Roman"/>
          <w:sz w:val="12"/>
          <w:szCs w:val="12"/>
          <w:color w:val="auto"/>
        </w:rPr>
        <w:t>. The Company and its subsidiaries are, and at all prior times during the last three (3) years were,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 compliance with all applicable state and federal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2"/>
          <w:szCs w:val="12"/>
          <w:b w:val="1"/>
          <w:bCs w:val="1"/>
          <w:i w:val="1"/>
          <w:iCs w:val="1"/>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Processing</w:t>
      </w:r>
      <w:r>
        <w:rPr>
          <w:rFonts w:ascii="Times New Roman" w:cs="Times New Roman" w:eastAsia="Times New Roman" w:hAnsi="Times New Roman"/>
          <w:sz w:val="12"/>
          <w:szCs w:val="12"/>
          <w:color w:val="auto"/>
        </w:rPr>
        <w:t>”) of Personal Data, including, to the extent applicable, HIPAA, the California Privacy Rights Act, and the European Union General Data Protection Regulation (EU 2016/679) (collectively, the “</w:t>
      </w:r>
      <w:r>
        <w:rPr>
          <w:rFonts w:ascii="Times New Roman" w:cs="Times New Roman" w:eastAsia="Times New Roman" w:hAnsi="Times New Roman"/>
          <w:sz w:val="12"/>
          <w:szCs w:val="12"/>
          <w:b w:val="1"/>
          <w:bCs w:val="1"/>
          <w:i w:val="1"/>
          <w:iCs w:val="1"/>
          <w:color w:val="auto"/>
        </w:rPr>
        <w:t>Privacy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Laws</w:t>
      </w:r>
      <w:r>
        <w:rPr>
          <w:rFonts w:ascii="Times New Roman" w:cs="Times New Roman" w:eastAsia="Times New Roman" w:hAnsi="Times New Roman"/>
          <w:sz w:val="12"/>
          <w:szCs w:val="12"/>
          <w:color w:val="auto"/>
        </w:rPr>
        <w:t>”). To comply with the Privacy Laws, the Company and its subsidiaries have in place, comply with, and take all appropriate steps necessary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2"/>
          <w:szCs w:val="12"/>
          <w:b w:val="1"/>
          <w:bCs w:val="1"/>
          <w:i w:val="1"/>
          <w:iCs w:val="1"/>
          <w:color w:val="auto"/>
        </w:rPr>
        <w:t>Privacy Statements</w:t>
      </w:r>
      <w:r>
        <w:rPr>
          <w:rFonts w:ascii="Times New Roman" w:cs="Times New Roman" w:eastAsia="Times New Roman" w:hAnsi="Times New Roman"/>
          <w:sz w:val="12"/>
          <w:szCs w:val="12"/>
          <w:color w:val="auto"/>
        </w:rPr>
        <w:t>”). The Company and its subsidiaries have, except as would not reasonably be expected, individually or in the aggregate, to have a Material Adverse Effect, at all times since January 1, 2025 provided accurate notice of its Privacy Statements then in effect to its clients, employees, third party vendors and representatives. None of such disclosures made or contained in any Privacy Statements have been materially inaccurate, misleading, incomplete, or in material violation of any Privacy Laws. The Company further represents that neither it nor any of its subsidiaries: (i) has received notice of any actual or potential claim, complaint, proceeding, regulatory proceeding or liability under or relating to, or actual or potential violation of, any of the Privacy Laws, contracts related to the Processing of Personal Data or Confidential Data, or Privacy Statements, and has no knowledge of any event or condition that would reasonably be expected to result in any such notice; (ii) is currently conducting or paying for, in whole or in part, any investigation, remediation, or other corrective action pursuant to any Privacy Law or contract; or (iii) is a party to any order, decree, or agreement that imposes any obligation or liability under any Privacy Law.</w:t>
      </w:r>
    </w:p>
    <w:p>
      <w:pPr>
        <w:spacing w:after="0" w:line="2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5. REPRESENTATIONS, WARRANTIES AND COVENANTS OF THE PURCHASERS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Each Purchaser, severally and not jointly, represents and warrants to and covenants with the Company and each of the Placement Agents that:</w:t>
      </w:r>
    </w:p>
    <w:p>
      <w:pPr>
        <w:spacing w:after="0" w:line="152" w:lineRule="exact"/>
        <w:rPr>
          <w:sz w:val="20"/>
          <w:szCs w:val="20"/>
          <w:color w:val="auto"/>
        </w:rPr>
      </w:pPr>
    </w:p>
    <w:p>
      <w:pPr>
        <w:ind w:left="640" w:right="9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5.1 Risk</w:t>
      </w:r>
      <w:r>
        <w:rPr>
          <w:rFonts w:ascii="Times New Roman" w:cs="Times New Roman" w:eastAsia="Times New Roman" w:hAnsi="Times New Roman"/>
          <w:sz w:val="13"/>
          <w:szCs w:val="13"/>
          <w:color w:val="auto"/>
        </w:rPr>
        <w:t>. Such Purchaser, taking into account the personnel and resources it can practically bring to bear on the purchase of the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contemplated hereby, is knowledgeable, sophisticated and experienced in making, and is qualified to make, decisions with respect to investments in securities presenting an investment decision like that involved in the purchase of the Securities, including investments in securities issued by the Company, and has requested, received, reviewed and considered all information such Purchaser deems relevant (including the SEC Documents) in making an informed decision to purchase the Securities. Such Purchaser (a) has conducted its own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68" w:name="page69"/>
    <w:bookmarkEnd w:id="68"/>
    <w:p>
      <w:pPr>
        <w:ind w:left="640" w:right="75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investigation of the Company and the Securities and it has not relied on any statements or other information provided by the Placement Agents concerning the Company or the Securities or the offer and sale of the Securities, (b) has had access to, and an adequate opportunity to review, financial and other information as it deems necessary to make its decision to purchase the Securities, (c) has been offered the opportunity to ask questions of the Company and received answers thereto, including on the financial information, as it deemed necessary in connection with its decision to purchase the Securities, and (d) has made its own assessment and has satisfied itself concerning the relevant tax and other economic considerations relevant to its investment in the Securities. Such Purchaser is able to fend for itself in the transactions contemplated herein; has such knowledge and experience in financial and business matters as to be capable of evaluating the merits and risks of its prospective investment in the Securities; and has the ability to bear the economic risks of its prospective investment in the Securities and can afford the complete loss of such investment.</w:t>
      </w:r>
    </w:p>
    <w:p>
      <w:pPr>
        <w:spacing w:after="0" w:line="121" w:lineRule="exact"/>
        <w:rPr>
          <w:sz w:val="20"/>
          <w:szCs w:val="20"/>
          <w:color w:val="auto"/>
        </w:rPr>
      </w:pPr>
    </w:p>
    <w:p>
      <w:pPr>
        <w:jc w:val="both"/>
        <w:ind w:left="640" w:right="6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5.2 Purchase for Investment</w:t>
      </w:r>
      <w:r>
        <w:rPr>
          <w:rFonts w:ascii="Times New Roman" w:cs="Times New Roman" w:eastAsia="Times New Roman" w:hAnsi="Times New Roman"/>
          <w:sz w:val="13"/>
          <w:szCs w:val="13"/>
          <w:color w:val="auto"/>
        </w:rPr>
        <w:t>. Such Purchaser is acquiring the Securities pursuant to this Agreement for its own account for investment only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with no present intention of distributing any of such Securities or any arrangement or understanding with any other Persons regarding the distribution of such Securities, except in compliance with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5.3 Reliance</w:t>
      </w:r>
      <w:r>
        <w:rPr>
          <w:rFonts w:ascii="Times New Roman" w:cs="Times New Roman" w:eastAsia="Times New Roman" w:hAnsi="Times New Roman"/>
          <w:sz w:val="13"/>
          <w:szCs w:val="13"/>
          <w:color w:val="auto"/>
        </w:rPr>
        <w:t>. Such Purchaser understands that the Securities are being offered and sold to it in reliance upon specific exemptions from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requirements of the Securities Act, the rules and regulations thereunder,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 If any of the representations and warranties made by such Purchaser herein are no longer accurate in all material respects prior to Closing, such Purchaser shall promptly notify the Company. If such Purchaser is acquiring the Securities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34" w:lineRule="exact"/>
        <w:rPr>
          <w:sz w:val="20"/>
          <w:szCs w:val="20"/>
          <w:color w:val="auto"/>
        </w:rPr>
      </w:pPr>
    </w:p>
    <w:p>
      <w:pPr>
        <w:ind w:left="640" w:right="8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5.4 Compliance with the Securities Act</w:t>
      </w:r>
      <w:r>
        <w:rPr>
          <w:rFonts w:ascii="Times New Roman" w:cs="Times New Roman" w:eastAsia="Times New Roman" w:hAnsi="Times New Roman"/>
          <w:sz w:val="13"/>
          <w:szCs w:val="13"/>
          <w:color w:val="auto"/>
        </w:rPr>
        <w:t>. Such Purchaser will not, directly or indirectly, offer, sell, pledge, transfer or otherwise dispose of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solicit any offers to buy, purchase or otherwise acquire or take a pledge of) any of the securities purchased hereunder except in compliance with the Securities Act, applicable blue sky laws, and the rules and regulations promulgated thereunder.</w:t>
      </w:r>
    </w:p>
    <w:p>
      <w:pPr>
        <w:spacing w:after="0" w:line="126"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t>5.5 Investment Representations and Warranties</w:t>
      </w:r>
      <w:r>
        <w:rPr>
          <w:rFonts w:ascii="Times New Roman" w:cs="Times New Roman" w:eastAsia="Times New Roman" w:hAnsi="Times New Roman"/>
          <w:sz w:val="12"/>
          <w:szCs w:val="12"/>
          <w:color w:val="auto"/>
        </w:rPr>
        <w:t>. Such Purchaser hereby represents and warrants that, it (i) as of the date of this Agreement is,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 entity, a “qualified institutional buyer” (as defined in Rule 144A under the Securities Act) or an institutional “accredited investor” as that term is defined in Rule 501(a)(1), (2), (3), (4) or (7)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Purchaser further represents and warrants that</w:t>
      </w:r>
    </w:p>
    <w:p>
      <w:pPr>
        <w:spacing w:after="0" w:line="3" w:lineRule="exact"/>
        <w:rPr>
          <w:sz w:val="20"/>
          <w:szCs w:val="20"/>
          <w:color w:val="auto"/>
        </w:rPr>
      </w:pPr>
    </w:p>
    <w:p>
      <w:pPr>
        <w:ind w:left="640" w:right="759" w:hanging="3"/>
        <w:spacing w:after="0" w:line="244" w:lineRule="auto"/>
        <w:tabs>
          <w:tab w:leader="none" w:pos="819"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capable of evaluating the merits and risk of such investment, and (y) that it has not been organized for the purpose of acquiring the Securities and is an “institutional account” as defined by FINRA Rule 4512(c). Such Purchaser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Purchaser’s representations as expressed herein.</w:t>
      </w:r>
    </w:p>
    <w:p>
      <w:pPr>
        <w:spacing w:after="0" w:line="135" w:lineRule="exact"/>
        <w:rPr>
          <w:sz w:val="20"/>
          <w:szCs w:val="20"/>
          <w:color w:val="auto"/>
        </w:rPr>
      </w:pPr>
    </w:p>
    <w:p>
      <w:pPr>
        <w:ind w:left="640" w:right="679" w:firstLine="309"/>
        <w:spacing w:after="0" w:line="273" w:lineRule="auto"/>
        <w:rPr>
          <w:sz w:val="20"/>
          <w:szCs w:val="20"/>
          <w:color w:val="auto"/>
        </w:rPr>
      </w:pPr>
      <w:r>
        <w:rPr>
          <w:rFonts w:ascii="Times New Roman" w:cs="Times New Roman" w:eastAsia="Times New Roman" w:hAnsi="Times New Roman"/>
          <w:sz w:val="12"/>
          <w:szCs w:val="12"/>
          <w:b w:val="1"/>
          <w:bCs w:val="1"/>
          <w:color w:val="auto"/>
        </w:rPr>
        <w:t>5.6 Power and Authority</w:t>
      </w:r>
      <w:r>
        <w:rPr>
          <w:rFonts w:ascii="Times New Roman" w:cs="Times New Roman" w:eastAsia="Times New Roman" w:hAnsi="Times New Roman"/>
          <w:sz w:val="12"/>
          <w:szCs w:val="12"/>
          <w:color w:val="auto"/>
        </w:rPr>
        <w:t>. Such Purchaser has all requisite corporate power, and has taken all requisite corporate action, to authorize, execute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69" w:name="page70"/>
    <w:bookmarkEnd w:id="69"/>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5.7 Broker Dealer</w:t>
      </w:r>
      <w:r>
        <w:rPr>
          <w:rFonts w:ascii="Times New Roman" w:cs="Times New Roman" w:eastAsia="Times New Roman" w:hAnsi="Times New Roman"/>
          <w:sz w:val="13"/>
          <w:szCs w:val="13"/>
          <w:color w:val="auto"/>
        </w:rPr>
        <w:t>. Such Purchaser is not a broker or dealer registered pursuant to Section 15 of the Exchange Act.</w:t>
      </w:r>
    </w:p>
    <w:p>
      <w:pPr>
        <w:spacing w:after="0" w:line="154"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t>5.8 Sophisticated Investor</w:t>
      </w:r>
      <w:r>
        <w:rPr>
          <w:rFonts w:ascii="Times New Roman" w:cs="Times New Roman" w:eastAsia="Times New Roman" w:hAnsi="Times New Roman"/>
          <w:sz w:val="12"/>
          <w:szCs w:val="12"/>
          <w:color w:val="auto"/>
        </w:rPr>
        <w:t>. Such Purchaser (a) acknowledges that it is a sophisticated investor engaged in the business of assessing and assuming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 risks with respect to securities, including securities such as the Units, Shares, Warrants and Warrant Shares, and further acknowledges that the Company is entering into this Agreement in reliance on this acknowledgment and said Purchaser’s understanding, acknowledgment and agreement that the Purchaser may have agreed in writing with the Company or the Placement Agents to receive information regarding certain confidential matters as part of its due diligence review that may represent material, non-public information of the Company, (b)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(c) is a sophisticated investor, experienced in investing in private equity transactions and capable of evaluating investment risks independently, both in general and with regard to all transactions and investment strategies involving a security or securities, (d) has conducted its own investigation of the Company and the Securities and has not relied on any statements or other information provided by the Placement Agents concerning the Company or the Securities or the offer and sale of the Securities, and (e) has exercised independent judgment in evaluating its participation in the purchase of the Securities.</w:t>
      </w:r>
    </w:p>
    <w:p>
      <w:pPr>
        <w:spacing w:after="0" w:line="122"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5.9 Other Securities Transactions</w:t>
      </w:r>
      <w:r>
        <w:rPr>
          <w:rFonts w:ascii="Times New Roman" w:cs="Times New Roman" w:eastAsia="Times New Roman" w:hAnsi="Times New Roman"/>
          <w:sz w:val="13"/>
          <w:szCs w:val="13"/>
          <w:color w:val="auto"/>
        </w:rPr>
        <w:t>. Such Purchaser has not, either directly or indirectly through an Affiliate, agent or representative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engaged in any Short Sales or any transaction in the securities of the Company other than with respect to the transactions contemplated herein, since the time that the Purchaser was first contacted by the Company or the Placement Agents or any other Person regarding the transactions contemplated hereby until the date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 and (b) in the case of a Purchaser that is affiliated with other funds or investment vehicles or whose investment advisor or sub-advisor that routinely acts on behalf of or pursuant to an understanding with such Purchaser is also an investment advisor or sub-advisor to other funds or investment vehicles, the representation set forth above shall only apply with respect to the personnel of such other funds or investment vehicles or such investment advisor or sub-advisor who had knowledge of the transactions contemplated hereby and not with respect to any personnel who have been effectively walled off by appropriate information barriers.</w:t>
      </w:r>
    </w:p>
    <w:p>
      <w:pPr>
        <w:spacing w:after="0" w:line="13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t>5.10 Independent Advice</w:t>
      </w:r>
      <w:r>
        <w:rPr>
          <w:rFonts w:ascii="Times New Roman" w:cs="Times New Roman" w:eastAsia="Times New Roman" w:hAnsi="Times New Roman"/>
          <w:sz w:val="13"/>
          <w:szCs w:val="13"/>
          <w:color w:val="auto"/>
        </w:rPr>
        <w:t>. Such Purchaser understands that nothing in this Agreement or any other materials presented to such Purchaser by or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behalf of the Company in connection with the purchase and sale of the Securities constitutes legal, tax or investment advice. Such Purchaser has consulted such legal, tax and investment advisors as it, in its sole discretion, has deemed necessary or appropriate in connection with its purchase of the Securities. In connection with the issue and purchase of the Securities, the Placement Agents have acted solely as the agent of the Company in this placement of the Securities and neither Placement Agent nor any of their respective affiliates have acted as underwriters or as financial advisors or fiduciaries of such Purchaser, the Company or any other person or entity. The Placement Agents have not made and will not make any representation or warranty, whether express or implied, of any kind or character and have not provided any advice or recommendation in connection with the transactions contemplated hereby. No disclosure or offering document has been prepared in connection with the offer and sale of the Shares by any of the Placement Agents. Each Purchaser hereby acknowledges and agrees that none of the Placement Agents shall not be liable to it (including in contract, tort, under federal or state securities laws or otherwise) for any action heretofore or hereafter taken or omitted to be taken by any of them in connection with the private placement of Securities hereunder, or for any improper payment made in accordance with the information provided by the Company. The Placement Agent will have no responsibility with respect to (a) any representations, warranties or agreements made by any person or entity under or in connection with the transactions contemplated hereby or any of the documents furnished pursuant thereto or in connection therewith, or the execution, legality, validity or enforceability (with respect to any person) of any thereof, or (b) the financial condition, business, or any other matter concerning the Company or the transactions contemplated hereby. The Placement Agents and their respective directors, officers, employees, representatives and controlling persons have made no independent investigation with respect to the Company or the Securities or the accuracy, completeness or adequacy as of any date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70" w:name="page71"/>
    <w:bookmarkEnd w:id="70"/>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any information set forth in, or any omission from, any valuation or other materials that may have been provided or made available to the Purchaser in connection with the transactions contemplated hereby. Each Purchaser is not relying upon, and has not relied upon, any statement, representation or warranty made by any person, including, without limitation, the Placement Agents, any of its affiliates or any of its or their control persons, officers, directors and employees, in making its investment or decisions to invest in the Company, except for the statements, representations and warranties made by the Company and contained in this Agreement and the SEC Documents.</w:t>
      </w:r>
    </w:p>
    <w:p>
      <w:pPr>
        <w:spacing w:after="0" w:line="132" w:lineRule="exact"/>
        <w:rPr>
          <w:sz w:val="20"/>
          <w:szCs w:val="20"/>
          <w:color w:val="auto"/>
        </w:rPr>
      </w:pPr>
    </w:p>
    <w:p>
      <w:pPr>
        <w:ind w:left="640" w:right="8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5.11 Legends</w:t>
      </w:r>
      <w:r>
        <w:rPr>
          <w:rFonts w:ascii="Times New Roman" w:cs="Times New Roman" w:eastAsia="Times New Roman" w:hAnsi="Times New Roman"/>
          <w:sz w:val="13"/>
          <w:szCs w:val="13"/>
          <w:color w:val="auto"/>
        </w:rPr>
        <w:t>. Such Purchaser understands that, until such time as the Securities may be sold pursuant to an effective registration statement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Rule 144 under the Securities Act (“</w:t>
      </w:r>
      <w:r>
        <w:rPr>
          <w:rFonts w:ascii="Times New Roman" w:cs="Times New Roman" w:eastAsia="Times New Roman" w:hAnsi="Times New Roman"/>
          <w:sz w:val="13"/>
          <w:szCs w:val="13"/>
          <w:b w:val="1"/>
          <w:bCs w:val="1"/>
          <w:i w:val="1"/>
          <w:iCs w:val="1"/>
          <w:color w:val="auto"/>
        </w:rPr>
        <w:t>Rule 144</w:t>
      </w:r>
      <w:r>
        <w:rPr>
          <w:rFonts w:ascii="Times New Roman" w:cs="Times New Roman" w:eastAsia="Times New Roman" w:hAnsi="Times New Roman"/>
          <w:sz w:val="13"/>
          <w:szCs w:val="13"/>
          <w:color w:val="auto"/>
        </w:rPr>
        <w:t>”) (or any other applicable exemption from the registration requirements under the Securities Act), any certificates representing the Securities, whether maintained in a book entry system or otherwise, will bear one or more legends in substantially the following form and substance:</w:t>
      </w:r>
    </w:p>
    <w:p>
      <w:pPr>
        <w:spacing w:after="0" w:line="132" w:lineRule="exact"/>
        <w:rPr>
          <w:sz w:val="20"/>
          <w:szCs w:val="20"/>
          <w:color w:val="auto"/>
        </w:rPr>
      </w:pPr>
    </w:p>
    <w:p>
      <w:pPr>
        <w:ind w:left="940" w:right="719"/>
        <w:spacing w:after="0" w:line="246" w:lineRule="auto"/>
        <w:rPr>
          <w:sz w:val="20"/>
          <w:szCs w:val="20"/>
          <w:color w:val="auto"/>
        </w:rPr>
      </w:pPr>
      <w:r>
        <w:rPr>
          <w:rFonts w:ascii="Times New Roman" w:cs="Times New Roman" w:eastAsia="Times New Roman" w:hAnsi="Times New Roman"/>
          <w:sz w:val="13"/>
          <w:szCs w:val="13"/>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36" w:lineRule="exact"/>
        <w:rPr>
          <w:sz w:val="20"/>
          <w:szCs w:val="20"/>
          <w:color w:val="auto"/>
        </w:rPr>
      </w:pPr>
    </w:p>
    <w:p>
      <w:pPr>
        <w:jc w:val="both"/>
        <w:ind w:left="640" w:right="819" w:firstLine="309"/>
        <w:spacing w:after="0" w:line="249" w:lineRule="auto"/>
        <w:rPr>
          <w:sz w:val="20"/>
          <w:szCs w:val="20"/>
          <w:color w:val="auto"/>
        </w:rPr>
      </w:pPr>
      <w:r>
        <w:rPr>
          <w:rFonts w:ascii="Times New Roman" w:cs="Times New Roman" w:eastAsia="Times New Roman" w:hAnsi="Times New Roman"/>
          <w:sz w:val="13"/>
          <w:szCs w:val="13"/>
          <w:color w:val="auto"/>
        </w:rPr>
        <w:t>In addition, any stock certificates, whether maintained in a book entry system or otherwise, representing the Securities may contain any legend required by the blue sky laws of any state to the extent such laws are applicable to the sale of such Securities hereunder. The Company shall promptly help facilitate the removal of such legend as soon as it is legally permitted to do so under Rule 144, or to facilitate any transfer of the Securities under Rule 144 that may be requested by Purchasers, but shall not be obligated to incur any material, noncustomary costs or expenses in taking such actions other than as set forth herein.</w:t>
      </w:r>
    </w:p>
    <w:p>
      <w:pPr>
        <w:spacing w:after="0" w:line="132"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5.12 Restricted Securities</w:t>
      </w:r>
      <w:r>
        <w:rPr>
          <w:rFonts w:ascii="Times New Roman" w:cs="Times New Roman" w:eastAsia="Times New Roman" w:hAnsi="Times New Roman"/>
          <w:sz w:val="13"/>
          <w:szCs w:val="13"/>
          <w:color w:val="auto"/>
        </w:rPr>
        <w:t>. Such Purchaser understands that the Securities are (or will be) characterized as “restricted securities” under the federal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w:t>
      </w:r>
    </w:p>
    <w:p>
      <w:pPr>
        <w:spacing w:after="0" w:line="131"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5.13 Beneficial Ownership</w:t>
      </w:r>
      <w:r>
        <w:rPr>
          <w:rFonts w:ascii="Times New Roman" w:cs="Times New Roman" w:eastAsia="Times New Roman" w:hAnsi="Times New Roman"/>
          <w:sz w:val="13"/>
          <w:szCs w:val="13"/>
          <w:color w:val="auto"/>
        </w:rPr>
        <w:t>. The purchase by the Purchaser of the Securities issuable to it at the Closing will not result in the Purchaser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(individually or together with any other Person with whom the Purchaser has identified, or will have identified, itself as part of a “group” in a public filing made with the Commission involving the Company’s securities, where such aggregation would be made according to Section 13(d) of the Exchange Act) acquiring, or obtaining the right to acquire, in excess of 19.99% of the outstanding shares of Common Stock or the voting power of the Company on a post-transaction basis that assumes that such Closing shall have occurred. The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in excess of 19.99% of the outstanding shares of Common Stock or the voting power of the Company on a post-transaction basis that assumes that each Closing shall have occurred (including assuming the effectiveness of any “blocker” or similar limitations on beneficial ownership contained in the applicable documentation for the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71" w:name="page72"/>
    <w:bookmarkEnd w:id="71"/>
    <w:p>
      <w:pPr>
        <w:ind w:left="640" w:right="67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5.14 No General Solicitation</w:t>
      </w:r>
      <w:r>
        <w:rPr>
          <w:rFonts w:ascii="Times New Roman" w:cs="Times New Roman" w:eastAsia="Times New Roman" w:hAnsi="Times New Roman"/>
          <w:sz w:val="13"/>
          <w:szCs w:val="13"/>
          <w:color w:val="auto"/>
        </w:rPr>
        <w:t>. Such Purchaser acknowledges and agrees that such Purchaser is purchasing the Securities directly from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Such Purchaser became aware of this offering of the Securities solely by means of direct contact from the Placement Agent or directly from the Company as a result of a pre-existing, substantive relationship with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Purchaser solely by direct contact between such Purchaser and the Company, the Placement Agent and/or their respective representatives. Such Purchaser did not become aware of this offering of the Securities, nor were the Securities offered to such Purchaser, by any other means, and none of the Company, the Placement Agent and/or their respective representatives acted as investment advisor, broker or dealer to such Purchaser. Such Purchaser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6. REGISTRATION OF THE SECURITIES AND COMPLIANCE WITH THE SECURITIES ACT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6.1 Registration Procedures and Expenses.</w:t>
      </w:r>
    </w:p>
    <w:p>
      <w:pPr>
        <w:spacing w:after="0" w:line="154" w:lineRule="exact"/>
        <w:rPr>
          <w:sz w:val="20"/>
          <w:szCs w:val="20"/>
          <w:color w:val="auto"/>
        </w:rPr>
      </w:pPr>
    </w:p>
    <w:p>
      <w:pPr>
        <w:ind w:left="640" w:right="659" w:firstLine="693"/>
        <w:spacing w:after="0" w:line="266" w:lineRule="auto"/>
        <w:tabs>
          <w:tab w:leader="none" w:pos="1515" w:val="left"/>
        </w:tabs>
        <w:numPr>
          <w:ilvl w:val="1"/>
          <w:numId w:val="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Secondary Registration Statement. </w:t>
      </w:r>
      <w:r>
        <w:rPr>
          <w:rFonts w:ascii="Times New Roman" w:cs="Times New Roman" w:eastAsia="Times New Roman" w:hAnsi="Times New Roman"/>
          <w:sz w:val="12"/>
          <w:szCs w:val="12"/>
          <w:color w:val="auto"/>
        </w:rPr>
        <w:t>The Company shall prepare and file, on or before the date that is thirty (30) days after the Closing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i w:val="1"/>
          <w:iCs w:val="1"/>
          <w:color w:val="auto"/>
        </w:rPr>
        <w:t>Filing Deadline</w:t>
      </w:r>
      <w:r>
        <w:rPr>
          <w:rFonts w:ascii="Times New Roman" w:cs="Times New Roman" w:eastAsia="Times New Roman" w:hAnsi="Times New Roman"/>
          <w:sz w:val="12"/>
          <w:szCs w:val="12"/>
          <w:color w:val="auto"/>
        </w:rPr>
        <w:t>”), with the Commission a Registration Statement on Form S-1 (or, if the Company determines, in its sole discretion, it is eligible to register for resale the Shares and Warrant Shares (together with any shares of capital stock issued or issuable, from time to time, upon any reclassification, share combination, share subdivision, stock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2"/>
          <w:szCs w:val="12"/>
          <w:b w:val="1"/>
          <w:bCs w:val="1"/>
          <w:i w:val="1"/>
          <w:iCs w:val="1"/>
          <w:color w:val="auto"/>
        </w:rPr>
        <w:t>Registrable Securities</w:t>
      </w:r>
      <w:r>
        <w:rPr>
          <w:rFonts w:ascii="Times New Roman" w:cs="Times New Roman" w:eastAsia="Times New Roman" w:hAnsi="Times New Roman"/>
          <w:sz w:val="12"/>
          <w:szCs w:val="12"/>
          <w:color w:val="auto"/>
        </w:rPr>
        <w:t>”) on Form S-3, such registration may, at the Company’s sole discretion, be on Form S-3), as appropriate (the “</w:t>
      </w:r>
      <w:r>
        <w:rPr>
          <w:rFonts w:ascii="Times New Roman" w:cs="Times New Roman" w:eastAsia="Times New Roman" w:hAnsi="Times New Roman"/>
          <w:sz w:val="12"/>
          <w:szCs w:val="12"/>
          <w:b w:val="1"/>
          <w:bCs w:val="1"/>
          <w:i w:val="1"/>
          <w:iCs w:val="1"/>
          <w:color w:val="auto"/>
        </w:rPr>
        <w:t>Secondary Registration Statement</w:t>
      </w:r>
      <w:r>
        <w:rPr>
          <w:rFonts w:ascii="Times New Roman" w:cs="Times New Roman" w:eastAsia="Times New Roman" w:hAnsi="Times New Roman"/>
          <w:sz w:val="12"/>
          <w:szCs w:val="12"/>
          <w:color w:val="auto"/>
        </w:rPr>
        <w:t>”), relating to and providing for the resale of the Registrable Securities by the Purchasers on a continuous basis pursuant to Rule 415 under the Securities Act or, if Rule 415 is not available for offers and sales of the Registrable Securities, by such other means of distribution of Registrable Securities as the Purchasers may reasonably specify. Notwithstanding the foregoing, if the Commission prevents the Company from including any or all of the Registrable Securities on the Secondary Registration Statement due to limitations on the use of Rule 415 of the Securities Act for the resale of the Registrable Securities (and notwithstanding that the Company used diligent efforts to advocate with the staff of the Commission for the registration of all or a greater portion of the Registrable Securities) or otherwise, the Secondary Registration Statement shall register for resale such number of Registrable Securities that is equal to the maximum number of Registrable Securities as is permitted by the Commission. In such event, the number of Registrable Securities for which resale is to be registered for each selling shareholder named in the Secondary Registration Statement shall be reduced pro rata among all such selling shareholders and as promptly as practicable after being permitted to register additional Registrable Securities under Rule 415 under the Securities Act, the Company shall amend the Secondary Registration Statement or file one or more new registration statement(s) (such amendment or new registration statement, a “</w:t>
      </w:r>
      <w:r>
        <w:rPr>
          <w:rFonts w:ascii="Times New Roman" w:cs="Times New Roman" w:eastAsia="Times New Roman" w:hAnsi="Times New Roman"/>
          <w:sz w:val="12"/>
          <w:szCs w:val="12"/>
          <w:b w:val="1"/>
          <w:bCs w:val="1"/>
          <w:i w:val="1"/>
          <w:iCs w:val="1"/>
          <w:color w:val="auto"/>
        </w:rPr>
        <w:t>Remainder Registration Statement</w:t>
      </w:r>
      <w:r>
        <w:rPr>
          <w:rFonts w:ascii="Times New Roman" w:cs="Times New Roman" w:eastAsia="Times New Roman" w:hAnsi="Times New Roman"/>
          <w:sz w:val="12"/>
          <w:szCs w:val="12"/>
          <w:color w:val="auto"/>
        </w:rPr>
        <w:t>”) to register such additional Registrable Securities not included in the Secondary Registration Statement and cause such Remainder Registration Statement to become effective as promptly as practicable after the filing thereof, but in any event no later than sixty (60) calendar days after the filing of such Remainder Registration Statement (the “</w:t>
      </w:r>
      <w:r>
        <w:rPr>
          <w:rFonts w:ascii="Times New Roman" w:cs="Times New Roman" w:eastAsia="Times New Roman" w:hAnsi="Times New Roman"/>
          <w:sz w:val="12"/>
          <w:szCs w:val="12"/>
          <w:b w:val="1"/>
          <w:bCs w:val="1"/>
          <w:i w:val="1"/>
          <w:iCs w:val="1"/>
          <w:color w:val="auto"/>
        </w:rPr>
        <w:t>Remainder Effectiveness Deadline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Remainder Effectiveness Deadline shall be extended to ninety (90) calendar days after the filing of such Remainder Registration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Statement if the SEC notifies the Company that it will “review” such Remainder Registration Statement;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notwithstanding the foregoing, that the Company shall use reasonable best efforts to have such Remainder Registration Statement declared effective within five</w:t>
      </w:r>
    </w:p>
    <w:p>
      <w:pPr>
        <w:spacing w:after="0" w:line="139" w:lineRule="exact"/>
        <w:rPr>
          <w:rFonts w:ascii="Times New Roman" w:cs="Times New Roman" w:eastAsia="Times New Roman" w:hAnsi="Times New Roman"/>
          <w:sz w:val="12"/>
          <w:szCs w:val="12"/>
          <w:b w:val="1"/>
          <w:bCs w:val="1"/>
          <w:color w:val="auto"/>
        </w:rPr>
      </w:pPr>
    </w:p>
    <w:p>
      <w:pPr>
        <w:ind w:left="640" w:right="719" w:hanging="3"/>
        <w:spacing w:after="0" w:line="244" w:lineRule="auto"/>
        <w:tabs>
          <w:tab w:leader="none" w:pos="819"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after the date the Company is notified orally or in writing (whichever is earlier) by the Commission that such Remainder Registration Statement will not be reviewed or will not be subject to further review. Any failure by the Company to file the Secondary Registration Statement by the Filing Deadline or to effect the Secondary Registration Statement by the Effectiveness Deadline (as defined below) or the Remainder Registration Statement by the Remainder Effectiveness Deadline shall not otherwise relieve the Company of its obligations to file or effect the Secondary Registration Statement or Remainder Registration Statement set forth in this </w:t>
      </w:r>
      <w:r>
        <w:rPr>
          <w:rFonts w:ascii="Times New Roman" w:cs="Times New Roman" w:eastAsia="Times New Roman" w:hAnsi="Times New Roman"/>
          <w:sz w:val="13"/>
          <w:szCs w:val="13"/>
          <w:u w:val="single" w:color="auto"/>
          <w:color w:val="auto"/>
        </w:rPr>
        <w:t>Section 6.1(a)</w:t>
      </w:r>
      <w:r>
        <w:rPr>
          <w:rFonts w:ascii="Times New Roman" w:cs="Times New Roman" w:eastAsia="Times New Roman" w:hAnsi="Times New Roman"/>
          <w:sz w:val="13"/>
          <w:szCs w:val="13"/>
          <w:color w:val="auto"/>
        </w:rPr>
        <w:t>. In the event the Company files a Secondary Registration Statement on Form S-1, the Company may, in its sole discretion, convert the Secondary Registration Statement (and any Remainder Registration Statement) to a Registration Statement on Form S-3 if the Company is eligible, in its sole determination, to use Form S-3.</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72" w:name="page73"/>
    <w:bookmarkEnd w:id="72"/>
    <w:p>
      <w:pPr>
        <w:ind w:left="640" w:right="659" w:firstLine="693"/>
        <w:spacing w:after="0" w:line="234" w:lineRule="auto"/>
        <w:tabs>
          <w:tab w:leader="none" w:pos="1522" w:val="left"/>
        </w:tabs>
        <w:numPr>
          <w:ilvl w:val="0"/>
          <w:numId w:val="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use its reasonable best efforts, subject to receipt of necessary information from the Purchasers, to cause the Commission to declare a Secondary Registration Statement covering the Shares and Warrant Shares effective as soon as practicable after the date of the filing thereof and in any event no later than the earlier of (i) thirty (30) days after such filing if the Secondary Registration Statement has been filed on Form S-3, and no later than sixty (60) days after such filing if such Secondary Registration Statement has been filed on Form S-1 (or, in either case, in the event the staff of the Commission reviews and has written comments, ninety (90) after such filing), and in either case, no later than thirty (30) days after such filing in the event the Secondary Registration Statement is not reviewed by the Commission and (ii)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Business Day after the date the Company is notified (orally or in writing, whichever is earlier) by the Commission that the Secondary Registration Statement will not be reviewed or will not be subject to further review (in either case, such date, the “</w:t>
      </w:r>
      <w:r>
        <w:rPr>
          <w:rFonts w:ascii="Times New Roman" w:cs="Times New Roman" w:eastAsia="Times New Roman" w:hAnsi="Times New Roman"/>
          <w:sz w:val="13"/>
          <w:szCs w:val="13"/>
          <w:b w:val="1"/>
          <w:bCs w:val="1"/>
          <w:i w:val="1"/>
          <w:iCs w:val="1"/>
          <w:color w:val="auto"/>
        </w:rPr>
        <w:t>Effectiveness Deadline</w:t>
      </w:r>
      <w:r>
        <w:rPr>
          <w:rFonts w:ascii="Times New Roman" w:cs="Times New Roman" w:eastAsia="Times New Roman" w:hAnsi="Times New Roman"/>
          <w:sz w:val="13"/>
          <w:szCs w:val="13"/>
          <w:color w:val="auto"/>
        </w:rPr>
        <w:t>”).</w:t>
      </w:r>
    </w:p>
    <w:p>
      <w:pPr>
        <w:spacing w:after="0" w:line="142" w:lineRule="exact"/>
        <w:rPr>
          <w:rFonts w:ascii="Times New Roman" w:cs="Times New Roman" w:eastAsia="Times New Roman" w:hAnsi="Times New Roman"/>
          <w:sz w:val="13"/>
          <w:szCs w:val="13"/>
          <w:b w:val="1"/>
          <w:bCs w:val="1"/>
          <w:color w:val="auto"/>
        </w:rPr>
      </w:pPr>
    </w:p>
    <w:p>
      <w:pPr>
        <w:ind w:left="640" w:right="639" w:firstLine="693"/>
        <w:spacing w:after="0" w:line="246" w:lineRule="auto"/>
        <w:tabs>
          <w:tab w:leader="none" w:pos="1508" w:val="left"/>
        </w:tabs>
        <w:numPr>
          <w:ilvl w:val="0"/>
          <w:numId w:val="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shall promptly prepare and file with the Commission such amendments and supplements to the Secondary Registration Statement and the prospectus used in connection therewith as may be necessary to keep the Secondary Registration Statement effective until the earliest of (i) such time as all of the Shares and Warrant Shares purchased by the Purchasers pursuant to the terms of this Agreement have been sold or otherwise transferred by the holder thereof pursuant to and in a manner contemplated by such Secondary Registration Statement, (ii) such time as such Shares or Warrant Shares are sold pursuant to Rule 144 under circumstances in which any legend borne by such security relating to restrictions on transferability thereof, under the Securities Act or otherwise, is removed by the Company, or (iii) such time as the Shares and Warrant Shares become eligible for resale by non-Affiliates without any volume limitations or other restrictions pursuant to Rule 144(b)(1)(i) or any other rule of similar effect; provided that, references to Warrant Shares in this </w:t>
      </w:r>
      <w:r>
        <w:rPr>
          <w:rFonts w:ascii="Times New Roman" w:cs="Times New Roman" w:eastAsia="Times New Roman" w:hAnsi="Times New Roman"/>
          <w:sz w:val="13"/>
          <w:szCs w:val="13"/>
          <w:u w:val="single" w:color="auto"/>
          <w:color w:val="auto"/>
        </w:rPr>
        <w:t>Section 6.1(c)</w:t>
      </w:r>
      <w:r>
        <w:rPr>
          <w:rFonts w:ascii="Times New Roman" w:cs="Times New Roman" w:eastAsia="Times New Roman" w:hAnsi="Times New Roman"/>
          <w:sz w:val="13"/>
          <w:szCs w:val="13"/>
          <w:color w:val="auto"/>
        </w:rPr>
        <w:t xml:space="preserve"> shall refer only to Warrant Shares then outstanding or issuable upon exercise of then outstanding Warrants.</w:t>
      </w:r>
    </w:p>
    <w:p>
      <w:pPr>
        <w:spacing w:after="0" w:line="137" w:lineRule="exact"/>
        <w:rPr>
          <w:rFonts w:ascii="Times New Roman" w:cs="Times New Roman" w:eastAsia="Times New Roman" w:hAnsi="Times New Roman"/>
          <w:sz w:val="13"/>
          <w:szCs w:val="13"/>
          <w:b w:val="1"/>
          <w:bCs w:val="1"/>
          <w:color w:val="auto"/>
        </w:rPr>
      </w:pPr>
    </w:p>
    <w:p>
      <w:pPr>
        <w:ind w:left="640" w:right="659" w:firstLine="693"/>
        <w:spacing w:after="0" w:line="265" w:lineRule="auto"/>
        <w:tabs>
          <w:tab w:leader="none" w:pos="1522" w:val="left"/>
        </w:tabs>
        <w:numPr>
          <w:ilvl w:val="0"/>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the foregoing obligations, the Company may, upon written notice to the Purchasers, for a reasonable period of time, not to exceed forty-five (45) days in the case of clauses (A) and (B) below, or thirty (30) days in the case of clause (C) below (each, a “</w:t>
      </w:r>
      <w:r>
        <w:rPr>
          <w:rFonts w:ascii="Times New Roman" w:cs="Times New Roman" w:eastAsia="Times New Roman" w:hAnsi="Times New Roman"/>
          <w:sz w:val="12"/>
          <w:szCs w:val="12"/>
          <w:b w:val="1"/>
          <w:bCs w:val="1"/>
          <w:i w:val="1"/>
          <w:iCs w:val="1"/>
          <w:color w:val="auto"/>
        </w:rPr>
        <w:t>Blackout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Period</w:t>
      </w:r>
      <w:r>
        <w:rPr>
          <w:rFonts w:ascii="Times New Roman" w:cs="Times New Roman" w:eastAsia="Times New Roman" w:hAnsi="Times New Roman"/>
          <w:sz w:val="12"/>
          <w:szCs w:val="12"/>
          <w:color w:val="auto"/>
        </w:rPr>
        <w:t>”), delay the filing of a Secondary Registration Statement or a request for acceleration of the effective date, or suspend the effectiveness of 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Secondary Registration Statement, in the event that (A) the Company is engaged in any activity or transaction or preparations or negotiations for any activity or transaction that the Company desires to keep confidential for business reasons, if the Company’s Board of Directors, on the advice of the Company’s outside legal counsel, determines in good faith that the public disclosure requirements imposed on the Company under the Securities Act in connection with the Secondary Registration Statement would require at that time disclosure of such activity, transaction, preparations or negotiations in the Secondary Registration Statement and such disclosure in the Secondary Registration Statement could result in material harm to the Company or its business transactions or activities and the non-disclosure of which in the Secondary Registration Statement would be expected, in the reasonable determination of the Company’s Board of Directors, upon advice of the Company’s outside legal counsel, to cause the Secondary Registration Statement to fail to comply with applicable disclosure requirements, (B) the Company does not yet have appropriate financial statements of any acquired or to be acquired entities necessary for filing, either because such financial statements are not yet available or despite the Company using reasonable best efforts to procure such financial statements or (C) any other event occurs that makes any statement of a material fact made in such Secondary Registration Statement, including any document incorporated by reference therein, untrue or that requires the making of any additions or changes in the Secondary Registration Statement in order to make the statements therein not misleading;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in the case of a Blackout Period pursuant to clause (A) above, the Blackout Period shall terminate upon the earlier of (i) such forty-five (45) day period or (ii) the completion, resolution or public announcement of the relevant transaction or event. If the Company suspends the effectiveness of a Secondary Registration Statement pursuant to this </w:t>
      </w:r>
      <w:r>
        <w:rPr>
          <w:rFonts w:ascii="Times New Roman" w:cs="Times New Roman" w:eastAsia="Times New Roman" w:hAnsi="Times New Roman"/>
          <w:sz w:val="12"/>
          <w:szCs w:val="12"/>
          <w:u w:val="single" w:color="auto"/>
          <w:color w:val="auto"/>
        </w:rPr>
        <w:t>Section 6.1(d)</w:t>
      </w:r>
      <w:r>
        <w:rPr>
          <w:rFonts w:ascii="Times New Roman" w:cs="Times New Roman" w:eastAsia="Times New Roman" w:hAnsi="Times New Roman"/>
          <w:sz w:val="12"/>
          <w:szCs w:val="12"/>
          <w:color w:val="auto"/>
        </w:rPr>
        <w:t>, the Company shall, as promptly as reasonably practicable following the termination of the circumstance which entitled the Company to do so, take such actions as may be necessary to reinstate the effectiveness of such Secondary Registration Statement and give written notice to the Purchasers authorizing the Purchasers to resume offerings and sales pursuant to such Secondary Registration Statement. If as a result thereof the prospectus included in such Secondary Registration Statement has been amended or supplemented to comply with the requirements of the Securities Act, the Company shall enclose such revised prospectus with the notice to each</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Purchaser given pursuant to this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The Company shall be entitled to exercise its rights under this </w:t>
      </w:r>
      <w:r>
        <w:rPr>
          <w:rFonts w:ascii="Times New Roman" w:cs="Times New Roman" w:eastAsia="Times New Roman" w:hAnsi="Times New Roman"/>
          <w:sz w:val="12"/>
          <w:szCs w:val="12"/>
          <w:u w:val="single" w:color="auto"/>
          <w:color w:val="auto"/>
        </w:rPr>
        <w:t>Section 6.1(d)</w:t>
      </w:r>
      <w:r>
        <w:rPr>
          <w:rFonts w:ascii="Times New Roman" w:cs="Times New Roman" w:eastAsia="Times New Roman" w:hAnsi="Times New Roman"/>
          <w:sz w:val="12"/>
          <w:szCs w:val="12"/>
          <w:color w:val="auto"/>
        </w:rPr>
        <w:t xml:space="preserve"> not more than once in any six</w:t>
      </w:r>
    </w:p>
    <w:p>
      <w:pPr>
        <w:spacing w:after="0" w:line="27" w:lineRule="exact"/>
        <w:rPr>
          <w:sz w:val="20"/>
          <w:szCs w:val="20"/>
          <w:color w:val="auto"/>
        </w:rPr>
      </w:pPr>
    </w:p>
    <w:p>
      <w:pPr>
        <w:ind w:left="820" w:hanging="183"/>
        <w:spacing w:after="0"/>
        <w:tabs>
          <w:tab w:leader="none" w:pos="8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month period;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aggregate number of days of all Blackout Periods hereunder shall not exceed sixty (60) days in any twelve</w:t>
      </w:r>
    </w:p>
    <w:p>
      <w:pPr>
        <w:spacing w:after="0" w:line="13"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82"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month period. After the expiration of any Blackout Period and without further request from any Purchaser, the Company shall effect the filing (or if required amendment or supplement) of the Secondary Registration Statement, or the filing of other documents, as necessary to allow the Purchasers to resell the Registrable Securities as set forth herein. In providing to a Purchaser the written notice of a Blackout Period as contemplated by the first sentence of this </w:t>
      </w:r>
      <w:r>
        <w:rPr>
          <w:rFonts w:ascii="Times New Roman" w:cs="Times New Roman" w:eastAsia="Times New Roman" w:hAnsi="Times New Roman"/>
          <w:sz w:val="13"/>
          <w:szCs w:val="13"/>
          <w:u w:val="single" w:color="auto"/>
          <w:color w:val="auto"/>
        </w:rPr>
        <w:t>Section 6.1(d)</w:t>
      </w:r>
      <w:r>
        <w:rPr>
          <w:rFonts w:ascii="Times New Roman" w:cs="Times New Roman" w:eastAsia="Times New Roman" w:hAnsi="Times New Roman"/>
          <w:sz w:val="13"/>
          <w:szCs w:val="13"/>
          <w:color w:val="auto"/>
        </w:rPr>
        <w:t>, the Company shall not (without the prior written consent of such Purchaser) disclose to such Purchaser any material nonpublic information giving rise to or otherwise associated with such Blackout Period.</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08" w:val="left"/>
        </w:tabs>
        <w:numPr>
          <w:ilvl w:val="1"/>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Upon notification by the Commission that the Secondary Registration Statement will not be reviewed or is not subject to further review by the Commission, the Company shall within three Business Days following the date of such notification request acceleration of such Secondary Registration Statement (with the requested effectiveness date to be not more than two Business Days later).</w:t>
      </w:r>
    </w:p>
    <w:p>
      <w:pPr>
        <w:spacing w:after="0" w:line="130" w:lineRule="exact"/>
        <w:rPr>
          <w:rFonts w:ascii="Times New Roman" w:cs="Times New Roman" w:eastAsia="Times New Roman" w:hAnsi="Times New Roman"/>
          <w:sz w:val="13"/>
          <w:szCs w:val="13"/>
          <w:b w:val="1"/>
          <w:bCs w:val="1"/>
          <w:color w:val="auto"/>
        </w:rPr>
      </w:pPr>
    </w:p>
    <w:p>
      <w:pPr>
        <w:ind w:left="640" w:right="799" w:firstLine="693"/>
        <w:spacing w:after="0" w:line="251" w:lineRule="auto"/>
        <w:tabs>
          <w:tab w:leader="none" w:pos="1494" w:val="left"/>
        </w:tabs>
        <w:numPr>
          <w:ilvl w:val="1"/>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shall furnish to the Purchasers with respect to the Shares and Warrant Shares registered under any Secondary Registration Statement (and to each underwriter, if any, of such Shares and Warrant Shares) such number of copies of prospectuses and such other documents as the Purchaser may reasonably request, in order to facilitate the public sale or other disposition of all or any of the Shares and/or Warrant Shares by the Purchaser.</w:t>
      </w:r>
    </w:p>
    <w:p>
      <w:pPr>
        <w:spacing w:after="0" w:line="132" w:lineRule="exact"/>
        <w:rPr>
          <w:rFonts w:ascii="Times New Roman" w:cs="Times New Roman" w:eastAsia="Times New Roman" w:hAnsi="Times New Roman"/>
          <w:sz w:val="13"/>
          <w:szCs w:val="13"/>
          <w:b w:val="1"/>
          <w:bCs w:val="1"/>
          <w:color w:val="auto"/>
        </w:rPr>
      </w:pPr>
    </w:p>
    <w:p>
      <w:pPr>
        <w:ind w:left="640" w:right="699" w:firstLine="693"/>
        <w:spacing w:after="0" w:line="251" w:lineRule="auto"/>
        <w:tabs>
          <w:tab w:leader="none" w:pos="1515" w:val="left"/>
        </w:tabs>
        <w:numPr>
          <w:ilvl w:val="1"/>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The Company shall bear all expenses in connection with the procedures in paragraphs (a) through (f) of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and the registration of the Shares and Warrant Shares pursuant to the Secondary Registration Statement, other than fees and expenses, if any, of counsel or other advisers to the Purchasers or underwriting discounts, brokerage fees and commissions incurred by the Purchaser, if any in connection with the offering of the Shares and Warrant Shares pursuant to the Secondary Registration Statement.</w:t>
      </w:r>
    </w:p>
    <w:p>
      <w:pPr>
        <w:spacing w:after="0" w:line="132" w:lineRule="exact"/>
        <w:rPr>
          <w:rFonts w:ascii="Times New Roman" w:cs="Times New Roman" w:eastAsia="Times New Roman" w:hAnsi="Times New Roman"/>
          <w:sz w:val="13"/>
          <w:szCs w:val="13"/>
          <w:b w:val="1"/>
          <w:bCs w:val="1"/>
          <w:color w:val="auto"/>
        </w:rPr>
      </w:pPr>
    </w:p>
    <w:p>
      <w:pPr>
        <w:ind w:left="640" w:right="739" w:firstLine="693"/>
        <w:spacing w:after="0" w:line="249" w:lineRule="auto"/>
        <w:tabs>
          <w:tab w:leader="none" w:pos="1522" w:val="left"/>
        </w:tabs>
        <w:numPr>
          <w:ilvl w:val="1"/>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order to enable the Purchasers to sell the Shares and Warrant Shares under Rule 144 (or its successor) and any other rule or regulation of the Commission that may at any time permit the Purchasers to sell shares of Common Stock to the public without registration, the Company shall use its reasonable best efforts to comply with the requirements of Rule 144, including without limitation, the requirements of Rule 144(c)(1) with respect to public information about the Company and to timely file all reports and other documents required to be filed by the Company under the Exchange Act.</w:t>
      </w:r>
    </w:p>
    <w:p>
      <w:pPr>
        <w:spacing w:after="0" w:line="134" w:lineRule="exact"/>
        <w:rPr>
          <w:rFonts w:ascii="Times New Roman" w:cs="Times New Roman" w:eastAsia="Times New Roman" w:hAnsi="Times New Roman"/>
          <w:sz w:val="13"/>
          <w:szCs w:val="13"/>
          <w:b w:val="1"/>
          <w:bCs w:val="1"/>
          <w:color w:val="auto"/>
        </w:rPr>
      </w:pPr>
    </w:p>
    <w:p>
      <w:pPr>
        <w:ind w:left="640" w:right="679" w:firstLine="693"/>
        <w:spacing w:after="0" w:line="274" w:lineRule="auto"/>
        <w:tabs>
          <w:tab w:leader="none" w:pos="1487" w:val="left"/>
        </w:tabs>
        <w:numPr>
          <w:ilvl w:val="1"/>
          <w:numId w:val="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shall provide the Purchasers a reasonable opportunity to review and comment on all disclosures regarding the Purchasers and any plan of distribution proposed by them in connection with the preparation of any Secondary Registration Statement not less than five</w:t>
      </w:r>
    </w:p>
    <w:p>
      <w:pPr>
        <w:spacing w:after="0" w:line="1" w:lineRule="exact"/>
        <w:rPr>
          <w:rFonts w:ascii="Times New Roman" w:cs="Times New Roman" w:eastAsia="Times New Roman" w:hAnsi="Times New Roman"/>
          <w:sz w:val="12"/>
          <w:szCs w:val="12"/>
          <w:b w:val="1"/>
          <w:bCs w:val="1"/>
          <w:color w:val="auto"/>
        </w:rPr>
      </w:pPr>
    </w:p>
    <w:p>
      <w:pPr>
        <w:ind w:left="640" w:right="719" w:hanging="3"/>
        <w:spacing w:after="0" w:line="244" w:lineRule="auto"/>
        <w:tabs>
          <w:tab w:leader="none" w:pos="819"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filing of such Secondary Registration Statement. Notwithstanding anything to the contrary contained herein, in no event shall the Company be permitted to name any Purchaser or Affiliate of a Purchaser as an “underwriter” without the prior written consent of such Purchaser;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the Commission requires that a Purchaser be identified as a statutory underwriter in either the Secondary Registration Statement or a Remainder Registration Statement, such Purchaser will have the option, in its sole and absolute discretion, to either (i) have the opportunity to withdraw from the Secondary Registration Statement or Remainder Registration Statement, as the case may be, upon its prompt written request to the Company or (ii) be included as such in the Secondary Registration Statement or Remainder Registration Statement, as the case may be.</w:t>
      </w:r>
    </w:p>
    <w:p>
      <w:pPr>
        <w:spacing w:after="0" w:line="13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provisions of Sections 6.1(c)—(g) shall also apply with respect to the Remainder Registration Statement.</w:t>
      </w:r>
    </w:p>
    <w:p>
      <w:pPr>
        <w:spacing w:after="0" w:line="152"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t>6.2 Restrictions on Transfer</w:t>
      </w:r>
      <w:r>
        <w:rPr>
          <w:rFonts w:ascii="Times New Roman" w:cs="Times New Roman" w:eastAsia="Times New Roman" w:hAnsi="Times New Roman"/>
          <w:sz w:val="12"/>
          <w:szCs w:val="12"/>
          <w:color w:val="auto"/>
        </w:rPr>
        <w:t>. Each Purchaser agrees that it will not effect any disposition of the Securities that would constitute a sale within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or any other applicable exemption from the registration requirements under the Securities Act. Notwithstanding the preceding sentence, no restriction shall apply to a transfer by a Purchaser that is</w:t>
      </w:r>
    </w:p>
    <w:p>
      <w:pPr>
        <w:spacing w:after="0" w:line="3" w:lineRule="exact"/>
        <w:rPr>
          <w:sz w:val="20"/>
          <w:szCs w:val="20"/>
          <w:color w:val="auto"/>
        </w:rPr>
      </w:pPr>
    </w:p>
    <w:p>
      <w:pPr>
        <w:ind w:left="640" w:right="739" w:hanging="3"/>
        <w:spacing w:after="0" w:line="246" w:lineRule="auto"/>
        <w:tabs>
          <w:tab w:leader="none" w:pos="79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partnership transferring to its partners or former partners in accordance with partnership interests, or (ii) a limited liability company transferring to its members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74" w:name="page75"/>
    <w:bookmarkEnd w:id="74"/>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former members in accordance with member interests; provided, however, that in each case, prior to the Stockholder Approval Date, any such transfer shall not be permitted unless the transferee, prior to the occurrence of such transfer, enters into a written agreement, in form and substance reasonably satisfactory to the Company, agreeing to be bound by Section 8.11 of this Agreement with respect to any Securities so transferred, it being the intent of the parties that no transfer of Securities prior to the Stockholder Approval Date shall have the effect of circumventing or impairing any Purchaser’s obligations with respect to Stockholder Approval.</w:t>
      </w:r>
    </w:p>
    <w:p>
      <w:pPr>
        <w:spacing w:after="0" w:line="132"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6.3 Indemnification</w:t>
      </w:r>
      <w:r>
        <w:rPr>
          <w:rFonts w:ascii="Times New Roman" w:cs="Times New Roman" w:eastAsia="Times New Roman" w:hAnsi="Times New Roman"/>
          <w:sz w:val="13"/>
          <w:szCs w:val="13"/>
          <w:color w:val="auto"/>
        </w:rPr>
        <w:t>. For the purpose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(i) the term “</w:t>
      </w:r>
      <w:r>
        <w:rPr>
          <w:rFonts w:ascii="Times New Roman" w:cs="Times New Roman" w:eastAsia="Times New Roman" w:hAnsi="Times New Roman"/>
          <w:sz w:val="13"/>
          <w:szCs w:val="13"/>
          <w:b w:val="1"/>
          <w:bCs w:val="1"/>
          <w:i w:val="1"/>
          <w:iCs w:val="1"/>
          <w:color w:val="auto"/>
        </w:rPr>
        <w:t>Purchaser/Affiliate</w:t>
      </w:r>
      <w:r>
        <w:rPr>
          <w:rFonts w:ascii="Times New Roman" w:cs="Times New Roman" w:eastAsia="Times New Roman" w:hAnsi="Times New Roman"/>
          <w:sz w:val="13"/>
          <w:szCs w:val="13"/>
          <w:color w:val="auto"/>
        </w:rPr>
        <w:t>” shall mean any officer, director, agent, partner,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member, manager, stockholder, affiliate or employee of the Purchaser, and any investment adviser of a Purchaser, or any transferee who is an affiliate of a Purchaser, and any person who controls a Purchaser or any affiliate of the Purchaser within the meaning of Section 15 of the Securities Act or Section 20 of the Exchange Act (and the officers, directors, partners, members, managers, stockholders, agents, investment advisers and employees of such controlling person); and (ii) the term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shall include any preliminary prospectus, final prospectus (the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free writing prospectus, exhibit, supplement or amendment included in or relating to, and any document incorporated by reference in, the Secondary Registration Statement and any Remainder Registration Statement pursuant to this Agreement.</w:t>
      </w:r>
    </w:p>
    <w:p>
      <w:pPr>
        <w:spacing w:after="0" w:line="134" w:lineRule="exact"/>
        <w:rPr>
          <w:sz w:val="20"/>
          <w:szCs w:val="20"/>
          <w:color w:val="auto"/>
        </w:rPr>
      </w:pPr>
    </w:p>
    <w:p>
      <w:pPr>
        <w:ind w:left="640" w:right="659" w:firstLine="693"/>
        <w:spacing w:after="0" w:line="265" w:lineRule="auto"/>
        <w:tabs>
          <w:tab w:leader="none" w:pos="1515"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Company agrees to indemnify and hold harmless each Purchaser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such consent not to be unreasonably withheld or delayed),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or incorporated by reference therein, as amended at the time of effectiveness of the Registration Statement, including any information deemed to be a part thereof as of the time of effectiveness pursuant to paragraph (b) of Rule 430A under the Securities Act, or pursuant to Rules 430B, 430C or 434 under the Securities Act, or the Prospectus, in the form first filed with the Commission pursuant to Rule 424(b) under the Securities Act,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(ii) any violation or alleged violation by the Company or its agents of the Securities Act, the Exchange Act, or any other federal or state securities law or any rule or regulation thereunder, in connection with the performance or non-performance of its obligations under this Agreement or any action or inaction required of the Company in connection with any registration pursuant to this Agreement or (iii)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with respect to the transactions contemplated by this Agreement,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(ii) the inaccuracy of any representation or warranty made by such Purchaser herein or (iii) any statement or omission in any Prospectus that is corrected in any subsequent Prospectus that was delivered to the Purchaser prior to the pertinent sale or sales by the Purchaser.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75" w:name="page76"/>
    <w:bookmarkEnd w:id="75"/>
    <w:p>
      <w:pPr>
        <w:ind w:left="640" w:right="659" w:firstLine="693"/>
        <w:spacing w:after="0" w:line="265" w:lineRule="auto"/>
        <w:tabs>
          <w:tab w:leader="none" w:pos="1522"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(and the officers, directors, partners, members, managers, stockholders, agents, investment advisers and employees of such controlling person), against any losses, claims, damages, liabilities or expenses that the Company, each of its directors, each of its officers who signed the Registration Statement or controlling person (and the officers, directors, partners, members, managers, stockholders, agents, investment advisers and employees of such controlling person) reasonably incurs, under the Securities Act, the Exchange Act, or any other federal or state statutory law or regulation, or at common law or otherwise (including in settlement of any litigation, but only if such settlement is effected with the written consent of such Purchaser, such consent not to be unreasonably withheld or delayed) insofar as such losses, claims, damages, liabilities or expenses (or actions in respect thereof as contemplated below) arise out of or are based upon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(and the officers, directors, partners, members, managers, stockholders, agents, investment advisers and employees of such controlling person) for any legal and other expense reasonably incurred by the Company, each of its directors, each of its officers who signed the Registration Statement or controlling person (and the officers, directors, partners, members, managers, stockholders, agents, investment advisers and employees of such controlling person) in connection with investigating, defending, settling, compromising or paying any such loss, claim, damage, liability, expense or action;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(i) each Purchaser’s aggregate liability under this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shall not exceed the amount of net proceeds received by such Purchaser on the sale of the Registrable Securities pursuant to the Registration Statement giving rise to such indemnification obligation, (ii) a Purchaser will not be liable for amounts paid in settlement of any such loss, claim, damage, liability or action if such settlement is effected without the written consent of such Purchaser, and (iii) a Purchaser will not be liable in any such case to the extent that any such loss, claim, damage, liability or expense arises out of or is based upon the gross negligence, fraud or willful misconduct of the Company, any of Company’s directors, any of Company’s officers who signed the Registration Statement or any person who controls the Company within the meaning of Section 15 of the Securities Act or Section 20 of the Exchange Act (or the officers, directors, partners, members, managers, stockholders, agents, investment advisers and employees of such controlling person).</w:t>
      </w:r>
    </w:p>
    <w:p>
      <w:pPr>
        <w:spacing w:after="0" w:line="284" w:lineRule="exact"/>
        <w:rPr>
          <w:rFonts w:ascii="Times New Roman" w:cs="Times New Roman" w:eastAsia="Times New Roman" w:hAnsi="Times New Roman"/>
          <w:sz w:val="12"/>
          <w:szCs w:val="12"/>
          <w:b w:val="1"/>
          <w:bCs w:val="1"/>
          <w:color w:val="auto"/>
        </w:rPr>
      </w:pPr>
    </w:p>
    <w:p>
      <w:pPr>
        <w:ind w:left="640" w:right="659" w:firstLine="693"/>
        <w:spacing w:after="0" w:line="266" w:lineRule="auto"/>
        <w:tabs>
          <w:tab w:leader="none" w:pos="1508"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Promptly after receipt by an indemnified party under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76" w:name="page77"/>
    <w:bookmarkEnd w:id="76"/>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approval shall not be unreasonably withheld or delayed. No indemnifying party shall, without the prior written consent of the indemnified party, effect any settlement of or consent to the entry of any judgment in any pending or threatened proceeding in respect of which any indemnified party is or could have been a party and indemnification could have been sought hereunder by such indemnified party, unless such settlement or judgment (x) includes an unconditional release of such indemnified party from all liability on claims that are the subject matter of such proceeding, (y) imposes no liability or obligation on the indemnified person and (z) does not include any admission of fault, culpability, wrongdoing or malfeasance by or on behalf of the indemnified person. The indemnifying party shall notify the indemnified party promptly of the institution, threat or assertion of any proceeding in connection with, arising out of, as a result of, relating to or based upon the transactions contemplated by this Agreement of which the indemnifying party is aware. Such indemnity shall remain in full force and effect regardless of any investigation made by or on behalf of such indemnified party and shall survive the transfer of any of the Securities by any of the Purchasers as permitted by this Agreement. 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w:t>
      </w:r>
    </w:p>
    <w:p>
      <w:pPr>
        <w:spacing w:after="0" w:line="2"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be paid to such indemnified party, as incurred, within ten (10) Business Days of written notice thereof to the indemnifying party,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the indemnified party shall promptly reimburse the indemnifying party for that portion of such fees and expenses applicable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such actions for which such indemnified party is finally judicially determined by a court of competent jurisdiction (which determination is not subject to appeal or further review) not to be entitled to indemnification hereunder.</w:t>
      </w:r>
    </w:p>
    <w:p>
      <w:pPr>
        <w:spacing w:after="0" w:line="137" w:lineRule="exact"/>
        <w:rPr>
          <w:sz w:val="20"/>
          <w:szCs w:val="20"/>
          <w:color w:val="auto"/>
        </w:rPr>
      </w:pPr>
    </w:p>
    <w:p>
      <w:pPr>
        <w:ind w:left="640" w:right="659" w:firstLine="693"/>
        <w:spacing w:after="0" w:line="268" w:lineRule="auto"/>
        <w:tabs>
          <w:tab w:leader="none" w:pos="1522" w:val="left"/>
        </w:tabs>
        <w:numPr>
          <w:ilvl w:val="1"/>
          <w:numId w:val="9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the indemnification provided for in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Securities hereunder or (ii) if the allocation provided by clause</w:t>
      </w:r>
    </w:p>
    <w:p>
      <w:pPr>
        <w:ind w:left="640" w:right="679" w:hanging="3"/>
        <w:spacing w:after="0" w:line="263" w:lineRule="auto"/>
        <w:tabs>
          <w:tab w:leader="none" w:pos="791"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Securities purchased by such Purchaser that were sold pursuant to the Registration Statement bears to the difference (the “</w:t>
      </w:r>
      <w:r>
        <w:rPr>
          <w:rFonts w:ascii="Times New Roman" w:cs="Times New Roman" w:eastAsia="Times New Roman" w:hAnsi="Times New Roman"/>
          <w:sz w:val="12"/>
          <w:szCs w:val="12"/>
          <w:b w:val="1"/>
          <w:bCs w:val="1"/>
          <w:i w:val="1"/>
          <w:iCs w:val="1"/>
          <w:color w:val="auto"/>
        </w:rPr>
        <w:t>Difference</w:t>
      </w:r>
      <w:r>
        <w:rPr>
          <w:rFonts w:ascii="Times New Roman" w:cs="Times New Roman" w:eastAsia="Times New Roman" w:hAnsi="Times New Roman"/>
          <w:sz w:val="12"/>
          <w:szCs w:val="12"/>
          <w:color w:val="auto"/>
        </w:rPr>
        <w:t xml:space="preserve">”) between the amount such Purchaser paid for the Securities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any legal or other fees or expenses reasonably incurred by such party in connection with investigating or defending any action or claim. The provisions set forth in paragraph</w:t>
      </w:r>
    </w:p>
    <w:p>
      <w:pPr>
        <w:spacing w:after="0" w:line="5"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12"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of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with respect to the notice of the threat or commencement of any threat or action shall apply if a claim for contribution is to be made under this paragraph (d);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3"/>
          <w:szCs w:val="13"/>
          <w:u w:val="single" w:color="auto"/>
          <w:color w:val="auto"/>
        </w:rPr>
        <w:t>Section 6.3(d)</w:t>
      </w:r>
      <w:r>
        <w:rPr>
          <w:rFonts w:ascii="Times New Roman" w:cs="Times New Roman" w:eastAsia="Times New Roman" w:hAnsi="Times New Roman"/>
          <w:sz w:val="13"/>
          <w:szCs w:val="13"/>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3"/>
          <w:szCs w:val="13"/>
          <w:u w:val="single" w:color="auto"/>
          <w:color w:val="auto"/>
        </w:rPr>
        <w:t>Section 6.3(d)</w:t>
      </w:r>
      <w:r>
        <w:rPr>
          <w:rFonts w:ascii="Times New Roman" w:cs="Times New Roman" w:eastAsia="Times New Roman" w:hAnsi="Times New Roman"/>
          <w:sz w:val="13"/>
          <w:szCs w:val="13"/>
          <w:color w:val="auto"/>
        </w:rPr>
        <w:t>, (i) no Purchaser shall be required to contribute any amount in excess of the amount by which the Difference exceeds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77" w:name="page78"/>
    <w:bookmarkEnd w:id="77"/>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amount of any damages that such Purchaser has otherwise been required to pay by reason of such untrue or alleged untrue statement or omission or alleged omission and (ii) each Purchaser’s aggregate liability under this </w:t>
      </w:r>
      <w:r>
        <w:rPr>
          <w:rFonts w:ascii="Times New Roman" w:cs="Times New Roman" w:eastAsia="Times New Roman" w:hAnsi="Times New Roman"/>
          <w:sz w:val="13"/>
          <w:szCs w:val="13"/>
          <w:u w:val="single" w:color="auto"/>
          <w:color w:val="auto"/>
        </w:rPr>
        <w:t>Section 6.3(d)</w:t>
      </w:r>
      <w:r>
        <w:rPr>
          <w:rFonts w:ascii="Times New Roman" w:cs="Times New Roman" w:eastAsia="Times New Roman" w:hAnsi="Times New Roman"/>
          <w:sz w:val="13"/>
          <w:szCs w:val="13"/>
          <w:color w:val="auto"/>
        </w:rPr>
        <w:t xml:space="preserve"> shall not exceed the amount of net proceeds received by such Purchaser on the sale of the Registrable Securities pursuant to the Registration Statement giving rise to such indemnification or contribution obligation.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3"/>
          <w:szCs w:val="13"/>
          <w:u w:val="single" w:color="auto"/>
          <w:color w:val="auto"/>
        </w:rPr>
        <w:t>Section 6.3(d)</w:t>
      </w:r>
      <w:r>
        <w:rPr>
          <w:rFonts w:ascii="Times New Roman" w:cs="Times New Roman" w:eastAsia="Times New Roman" w:hAnsi="Times New Roman"/>
          <w:sz w:val="13"/>
          <w:szCs w:val="13"/>
          <w:color w:val="auto"/>
        </w:rPr>
        <w:t xml:space="preserve"> are several and not joint.</w:t>
      </w:r>
    </w:p>
    <w:p>
      <w:pPr>
        <w:spacing w:after="0" w:line="133"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6.4 Information Available</w:t>
      </w:r>
      <w:r>
        <w:rPr>
          <w:rFonts w:ascii="Times New Roman" w:cs="Times New Roman" w:eastAsia="Times New Roman" w:hAnsi="Times New Roman"/>
          <w:sz w:val="12"/>
          <w:szCs w:val="12"/>
          <w:color w:val="auto"/>
        </w:rPr>
        <w:t>. The Company, upon the reasonable request of a Purchaser, shall make available for inspection by any deemed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underwriter participating in any disposition pursuant to the Secondary Registration Statement or the Remainder Registration Statement and any attorney, accountant or other agent retained by deemed underwriter, all financial and other records, pertinent corporate documents and properties of the Company.</w:t>
      </w:r>
    </w:p>
    <w:p>
      <w:pPr>
        <w:spacing w:after="0" w:line="110" w:lineRule="exact"/>
        <w:rPr>
          <w:sz w:val="20"/>
          <w:szCs w:val="20"/>
          <w:color w:val="auto"/>
        </w:rPr>
      </w:pPr>
    </w:p>
    <w:p>
      <w:pPr>
        <w:ind w:left="640" w:right="679" w:firstLine="309"/>
        <w:spacing w:after="0" w:line="265" w:lineRule="auto"/>
        <w:rPr>
          <w:sz w:val="20"/>
          <w:szCs w:val="20"/>
          <w:color w:val="auto"/>
        </w:rPr>
      </w:pPr>
      <w:r>
        <w:rPr>
          <w:rFonts w:ascii="Times New Roman" w:cs="Times New Roman" w:eastAsia="Times New Roman" w:hAnsi="Times New Roman"/>
          <w:sz w:val="12"/>
          <w:szCs w:val="12"/>
          <w:b w:val="1"/>
          <w:bCs w:val="1"/>
          <w:color w:val="auto"/>
        </w:rPr>
        <w:t>6.5 Delay in Filing or Effectiveness of Secondary Registration Statement</w:t>
      </w:r>
      <w:r>
        <w:rPr>
          <w:rFonts w:ascii="Times New Roman" w:cs="Times New Roman" w:eastAsia="Times New Roman" w:hAnsi="Times New Roman"/>
          <w:sz w:val="12"/>
          <w:szCs w:val="12"/>
          <w:color w:val="auto"/>
        </w:rPr>
        <w:t>. If a Secondary Registration Statement covering the Shares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Warrant Shares is not filed on or prior to the Filing Deadline, then for each day following the Filing Deadline or Effectiveness Deadline, as applicable, until but excluding the date the Company files, the Company shall, for each such day, pay each Purchaser with respect to any such failure, as liquidated damages and not as a penalty, an amount per thirty (30)-day period equal to 1.5% of the purchase price paid by such Purchaser for its Shares and Warrant Shares pursuant to this Agreement (calculated on a daily pro rata basis for any portion of such thirty (30)-day period prior to the cure of such failure); and for any such thirty (30)-day period (or earlier period if such failure is cured prior to thirty (30) days), such payment shall be made no later than three (3) Business Days following such thirty (30)-day period (or earlier period if such failure is cured prior to thirty (30) days); provided that no liquidated damages shall be payable (A) if, as of the relevant date, the Registrable Securities may be sold by such Purchaser without volume or manner-of-sale restrictions under Rule 144, as determined by counsel to the Company pursuant to a written opinion letter to such effect, addressed and reasonably acceptable to such Purchaser and the Company’s transfer agent, (B) to a Purchaser that is unable to lawfully sell any of its Registrable Securities due to such Purchaser’s possession of material non-public information, (C) if and to the extent that, despite the Company’s reasonable best efforts to avoid a breach hereof, the Company’s failure was caused by a government shutdown resulting in the SEC’s inability to review or declare effective the Registration Statement, (D) to a Purchaser with respect to any event caused by or attributable to any action or inaction of such Purchaser or</w:t>
      </w:r>
    </w:p>
    <w:p>
      <w:pPr>
        <w:spacing w:after="0" w:line="5" w:lineRule="exact"/>
        <w:rPr>
          <w:sz w:val="20"/>
          <w:szCs w:val="20"/>
          <w:color w:val="auto"/>
        </w:rPr>
      </w:pPr>
    </w:p>
    <w:p>
      <w:pPr>
        <w:ind w:left="640" w:right="699" w:hanging="3"/>
        <w:spacing w:after="0" w:line="243" w:lineRule="auto"/>
        <w:tabs>
          <w:tab w:leader="none" w:pos="833"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Shares or Warrant Shares are to be registered on a Remainder Registration Statement in accordance with, and within the periods required by, </w:t>
      </w:r>
      <w:r>
        <w:rPr>
          <w:rFonts w:ascii="Times New Roman" w:cs="Times New Roman" w:eastAsia="Times New Roman" w:hAnsi="Times New Roman"/>
          <w:sz w:val="13"/>
          <w:szCs w:val="13"/>
          <w:u w:val="single" w:color="auto"/>
          <w:color w:val="auto"/>
        </w:rPr>
        <w:t>Section 6.1(a)</w:t>
      </w:r>
      <w:r>
        <w:rPr>
          <w:rFonts w:ascii="Times New Roman" w:cs="Times New Roman" w:eastAsia="Times New Roman" w:hAnsi="Times New Roman"/>
          <w:sz w:val="13"/>
          <w:szCs w:val="13"/>
          <w:color w:val="auto"/>
        </w:rPr>
        <w:t xml:space="preserve">. Notwithstanding any other provision herein, with respect to a Purchaser (i) the Filing Deadline and Effectiveness Deadline for a Secondary Registration Statement shall be extended, without default by or liquidated damages payable by the Company to such Purchaser pursuant to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if the Company’s failure to make such filing or obtain such effectiveness results from the failure of such Purchaser to timely provide the Company with information requested by the Company and necessary to complete a Secondary Registration Statement in accordance with the requirements of the Securities Act (in which case any such deadline would be extended with respect to all Registrable Securities held by such Purchaser until such time as the Purchaser provides such requested information), it being understood that the failure of such Purchaser to timely provide such information to the Company shall not affect the rights of other Purchasers herein, and (ii) in no event shall the Company be obligated to pay any liquidated damages pursuant to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to more than one Purchaser in respect of the same Shares or Warrant Shares for the same period of time or in an aggregate amount that exceeds 12.0% of the purchase price paid by the Purchasers for the Shares and Warrant Shares pursuant to this Agreement. Such payments shall be made to the Purchasers in cash.</w:t>
      </w:r>
    </w:p>
    <w:p>
      <w:pPr>
        <w:spacing w:after="0" w:line="140" w:lineRule="exact"/>
        <w:rPr>
          <w:sz w:val="20"/>
          <w:szCs w:val="20"/>
          <w:color w:val="auto"/>
        </w:rPr>
      </w:pPr>
    </w:p>
    <w:p>
      <w:pPr>
        <w:ind w:left="640" w:right="71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6.6 No Piggyback on Registrations</w:t>
      </w:r>
      <w:r>
        <w:rPr>
          <w:rFonts w:ascii="Times New Roman" w:cs="Times New Roman" w:eastAsia="Times New Roman" w:hAnsi="Times New Roman"/>
          <w:sz w:val="12"/>
          <w:szCs w:val="12"/>
          <w:color w:val="auto"/>
        </w:rPr>
        <w:t>. Neither the Company nor any of its security holders (other than the Purchasers in such capacity pursuant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hereto) may include securities of the Company in the Secondary Registration Statement other than the Registrable Securities. The Company shall not file any other registration statements, other than any registration statements on Form S-4 or Form S-8 (each as promulgated under the Securities Act) or a remainder Registration Statement, prior to the Effective Date of the Secondary Registration Statement,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shall not prohibit the Company from filing amendments to registration statements filed prior to the date of this Agreement.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7. NO BROKER’S FEE</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Each of the Company and the Purchasers (on a several but not joint basis) hereby represents that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or other similar fee or commission in connection with the transactions contemplated by this Agreement, other than fees payable by the Company to the Placement Agents, which will be paid by the Company. The Company agrees to indemnify each Purchaser for any claims, losses or expenses incurred by such Purchaser as a result of the Company’s representation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being untrue.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8. COVENANTS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8.1 Blue Sky Filings</w:t>
      </w:r>
      <w:r>
        <w:rPr>
          <w:rFonts w:ascii="Times New Roman" w:cs="Times New Roman" w:eastAsia="Times New Roman" w:hAnsi="Times New Roman"/>
          <w:sz w:val="13"/>
          <w:szCs w:val="13"/>
          <w:color w:val="auto"/>
        </w:rPr>
        <w:t>. The Company will take such action as the Company shall reasonably determine is necessary in order to obtain an exemption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from, or to qualify the Securities for, sale to the Purchasers at the Closing pursuant to this Agreement under applicable securities or “Blue Sky” laws of the states of the United States, and shall provide evidence of such actions promptly upon the written request of any Purchaser. Notwithstanding the foregoing,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35"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8.2 Transfer Taxes. </w:t>
      </w:r>
      <w:r>
        <w:rPr>
          <w:rFonts w:ascii="Times New Roman" w:cs="Times New Roman" w:eastAsia="Times New Roman" w:hAnsi="Times New Roman"/>
          <w:sz w:val="13"/>
          <w:szCs w:val="13"/>
          <w:color w:val="auto"/>
        </w:rPr>
        <w:t>On the Closing Date, all stock transfer or other taxes (other than income taxes) that are required to be paid in connection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issuance, sale and delivery of the Units to the Purchasers hereunder will be fully paid or provided for by the Company and all laws imposing such taxes will have been fully complied with and the Purchasers and their respective Affiliates shall have no obligation therefor.</w:t>
      </w:r>
    </w:p>
    <w:p>
      <w:pPr>
        <w:spacing w:after="0" w:line="126"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8.3 Listing of Common Stock</w:t>
      </w:r>
      <w:r>
        <w:rPr>
          <w:rFonts w:ascii="Times New Roman" w:cs="Times New Roman" w:eastAsia="Times New Roman" w:hAnsi="Times New Roman"/>
          <w:sz w:val="13"/>
          <w:szCs w:val="13"/>
          <w:color w:val="auto"/>
        </w:rPr>
        <w:t>. The Company shall use its reasonable best efforts to maintain the Common Stock’s listing on the Trading Market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and, in accordance therewith, will use reasonable best efforts to comply in all material respects with the Company’s reporting, filing and other obligations under the rules and regulations of Trading Market. The Company shall pay all fees and expenses in connection with satisfying its obligations under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8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8.4 Reservation of Common Stock. </w:t>
      </w:r>
      <w:r>
        <w:rPr>
          <w:rFonts w:ascii="Times New Roman" w:cs="Times New Roman" w:eastAsia="Times New Roman" w:hAnsi="Times New Roman"/>
          <w:sz w:val="13"/>
          <w:szCs w:val="13"/>
          <w:color w:val="auto"/>
        </w:rPr>
        <w:t>As of the date hereof, the Company has reserved and the Company shall continue to reserve and keep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available at all times, free of preemptive rights, a sufficient number of shares of Common Stock for the purpose of enabling the Company to issue the Warrant Shares that are issuable upon the exercise of the Warrants.</w:t>
      </w:r>
    </w:p>
    <w:p>
      <w:pPr>
        <w:spacing w:after="0" w:line="126"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8.5 Equal Treatment of Purchasers. </w:t>
      </w:r>
      <w:r>
        <w:rPr>
          <w:rFonts w:ascii="Times New Roman" w:cs="Times New Roman" w:eastAsia="Times New Roman" w:hAnsi="Times New Roman"/>
          <w:sz w:val="13"/>
          <w:szCs w:val="13"/>
          <w:color w:val="auto"/>
        </w:rPr>
        <w:t>No consideration (including any modification of documents related hereto) shall be offered or paid to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Person to amend or consent to a waiver or modification of any provision of this Agreement or any documents related hereto unless the same consideration is also offered to all Purchasers hereunder. For clarification purposes, this provision constitutes a separate right granted to each Purchaser by the Company and negotiated separately by each Purchaser, and is intended for the Company to treat the Purchasers as a class (subject to the proviso in the preceding sentence) and shall not in any way be construed as the Purchasers acting in concert or as a group (including a “group” within the meaning of Section 13(d)(3) of the Exchange Act) with respect to the purchase, disposition or voting of securities or otherwise. The Company does not have, and will not enter into, any agreement or understanding with any Purchaser that affords such Purchaser any rights or terms with respect to the transactions contemplated by this Agreement (including the exhibits hereto) that are more beneficial to such Purchaser than those afforded to all other Purchasers hereunder.</w:t>
      </w:r>
    </w:p>
    <w:p>
      <w:pPr>
        <w:spacing w:after="0" w:line="137"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8.6 Pledge of Securities</w:t>
      </w:r>
      <w:r>
        <w:rPr>
          <w:rFonts w:ascii="Times New Roman" w:cs="Times New Roman" w:eastAsia="Times New Roman" w:hAnsi="Times New Roman"/>
          <w:sz w:val="12"/>
          <w:szCs w:val="12"/>
          <w:color w:val="auto"/>
        </w:rPr>
        <w:t>. The Company acknowledges and agrees that a Purchaser’s Securities may be pledged by a Purchaser in connection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 bona fide margin agreement or other loan or financing arrangement that is secured by the Securities. The pledge of Securities shall not be deemed to be a transfer, sale or assignment of the Shares hereunder, and no Purchaser effecting a pledge of Securities shall be required to provide the Company with any notice thereof or otherwise make any delivery to the Company pursuant to this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 Purchaser and its pledgee shall be required to comply with the provisions of this Agreement in order to effect a sale, transfer or assignment of Shares to such pledgee.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29" w:right="1440" w:bottom="1440" w:gutter="0" w:footer="0" w:header="0"/>
        </w:sectPr>
      </w:pPr>
    </w:p>
    <w:bookmarkStart w:id="79" w:name="page80"/>
    <w:bookmarkEnd w:id="79"/>
    <w:p>
      <w:pPr>
        <w:ind w:left="640" w:right="6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8.7 Adjustments in Share Numbers and Prices</w:t>
      </w:r>
      <w:r>
        <w:rPr>
          <w:rFonts w:ascii="Times New Roman" w:cs="Times New Roman" w:eastAsia="Times New Roman" w:hAnsi="Times New Roman"/>
          <w:sz w:val="13"/>
          <w:szCs w:val="13"/>
          <w:color w:val="auto"/>
        </w:rPr>
        <w:t>. In the event of any stock split, subdivision, dividend or distribution payable in shares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Stock (or other securities or rights convertible into, or entitling the holder thereof to receive directly or indirectly shares of Common Stock), combination or other similar recapitalization or event occurring after the date hereof and prior to the Closing, each reference this Agreement to a number of shares or a price per share shall be deemed to be amended to appropriately account for such event.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8.8 Subsequent Equity Sales.</w:t>
      </w:r>
    </w:p>
    <w:p>
      <w:pPr>
        <w:spacing w:after="0" w:line="156" w:lineRule="exact"/>
        <w:rPr>
          <w:sz w:val="20"/>
          <w:szCs w:val="20"/>
          <w:color w:val="auto"/>
        </w:rPr>
      </w:pPr>
    </w:p>
    <w:p>
      <w:pPr>
        <w:ind w:left="640" w:right="839" w:firstLine="693"/>
        <w:spacing w:after="0" w:line="255" w:lineRule="auto"/>
        <w:tabs>
          <w:tab w:leader="none" w:pos="1515" w:val="left"/>
        </w:tabs>
        <w:numPr>
          <w:ilvl w:val="0"/>
          <w:numId w:val="1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From the date hereof until the date that is 60 days after the date the Secondary Registration Statement is declared effective by the Commission, neither the Company nor any subsidiary shall issue, enter into any agreement to issue or announce the issuance or proposed issuance of any shares of Common Stock or Common Stock Equivalents.</w:t>
      </w:r>
    </w:p>
    <w:p>
      <w:pPr>
        <w:spacing w:after="0" w:line="130" w:lineRule="exact"/>
        <w:rPr>
          <w:rFonts w:ascii="Times New Roman" w:cs="Times New Roman" w:eastAsia="Times New Roman" w:hAnsi="Times New Roman"/>
          <w:sz w:val="13"/>
          <w:szCs w:val="13"/>
          <w:b w:val="1"/>
          <w:bCs w:val="1"/>
          <w:color w:val="auto"/>
        </w:rPr>
      </w:pPr>
    </w:p>
    <w:p>
      <w:pPr>
        <w:ind w:left="640" w:right="919" w:firstLine="693"/>
        <w:spacing w:after="0" w:line="267" w:lineRule="auto"/>
        <w:tabs>
          <w:tab w:leader="none" w:pos="1522" w:val="left"/>
        </w:tabs>
        <w:numPr>
          <w:ilvl w:val="0"/>
          <w:numId w:val="1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From the date hereof until the date that is 180 days after the date the Secondary Registration Statement is declared effective by the Commission, the Company shall not enter into a Variable Rate Transaction.</w:t>
      </w:r>
    </w:p>
    <w:p>
      <w:pPr>
        <w:spacing w:after="0" w:line="122" w:lineRule="exact"/>
        <w:rPr>
          <w:rFonts w:ascii="Times New Roman" w:cs="Times New Roman" w:eastAsia="Times New Roman" w:hAnsi="Times New Roman"/>
          <w:sz w:val="13"/>
          <w:szCs w:val="13"/>
          <w:b w:val="1"/>
          <w:bCs w:val="1"/>
          <w:color w:val="auto"/>
        </w:rPr>
      </w:pPr>
    </w:p>
    <w:p>
      <w:pPr>
        <w:ind w:left="1500" w:hanging="167"/>
        <w:spacing w:after="0"/>
        <w:tabs>
          <w:tab w:leader="none" w:pos="1500" w:val="left"/>
        </w:tabs>
        <w:numPr>
          <w:ilvl w:val="0"/>
          <w:numId w:val="1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Notwithstanding the foregoing, this </w:t>
      </w:r>
      <w:r>
        <w:rPr>
          <w:rFonts w:ascii="Times New Roman" w:cs="Times New Roman" w:eastAsia="Times New Roman" w:hAnsi="Times New Roman"/>
          <w:sz w:val="13"/>
          <w:szCs w:val="13"/>
          <w:u w:val="single" w:color="auto"/>
          <w:color w:val="auto"/>
        </w:rPr>
        <w:t>Section 8.8</w:t>
      </w:r>
      <w:r>
        <w:rPr>
          <w:rFonts w:ascii="Times New Roman" w:cs="Times New Roman" w:eastAsia="Times New Roman" w:hAnsi="Times New Roman"/>
          <w:sz w:val="13"/>
          <w:szCs w:val="13"/>
          <w:color w:val="auto"/>
        </w:rPr>
        <w:t xml:space="preserve"> shall not apply in respect of an Exempt Issuance or an Exempt Filing.</w:t>
      </w:r>
    </w:p>
    <w:p>
      <w:pPr>
        <w:spacing w:after="0" w:line="152" w:lineRule="exact"/>
        <w:rPr>
          <w:sz w:val="20"/>
          <w:szCs w:val="20"/>
          <w:color w:val="auto"/>
        </w:rPr>
      </w:pPr>
    </w:p>
    <w:p>
      <w:pPr>
        <w:ind w:left="640" w:right="659" w:firstLine="309"/>
        <w:spacing w:after="0" w:line="265" w:lineRule="auto"/>
        <w:rPr>
          <w:sz w:val="20"/>
          <w:szCs w:val="20"/>
          <w:color w:val="auto"/>
        </w:rPr>
      </w:pPr>
      <w:r>
        <w:rPr>
          <w:rFonts w:ascii="Times New Roman" w:cs="Times New Roman" w:eastAsia="Times New Roman" w:hAnsi="Times New Roman"/>
          <w:sz w:val="12"/>
          <w:szCs w:val="12"/>
          <w:b w:val="1"/>
          <w:bCs w:val="1"/>
          <w:color w:val="auto"/>
        </w:rPr>
        <w:t>8.9 Legend Removal</w:t>
      </w:r>
      <w:r>
        <w:rPr>
          <w:rFonts w:ascii="Times New Roman" w:cs="Times New Roman" w:eastAsia="Times New Roman" w:hAnsi="Times New Roman"/>
          <w:sz w:val="12"/>
          <w:szCs w:val="12"/>
          <w:color w:val="auto"/>
        </w:rPr>
        <w:t>. The Company shall, at its sole expense, upon appropriate notice from any Purchaser stating that Registrable Securities have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been sold pursuant to an effective Secondary Registration Statement or Remainder Registration Statement, under Rule 144, or any other exemption from the registration requirements under the Securities Act, within the Standard Settlement Period of such notice if such notice is received before 5:00 p.m. on a Business Day (and if such notice is received after 5:00 p.m. Eastern time on a Business Day, within the Standard Settlement Period from the following Business Day), cause its transfer agent to timely prepare and deliver certificates or book-entry shares representing the Shares and Warrant Shares to be delivered to a transferee pursuant to such sale,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Secondary Registration Statement or the Remainder Registration Statement is effective, to issue to the transfer agent a “blanket” legal opinion to allow sales without restriction pursuant to the effective Secondary Registration Statement or the Remainder Registration Statement, and (ii) provide all other opinions as may reasonably be required by the transfer agent in connection with the removal of legends. A Purchaser may request that the Company remove, and the Company agrees to authorize the removal of, any legend from such Shares and Warrant Shares, following the delivery by a Purchaser to the Company or the Company’s transfer agent of either a legended certificate representing such Shares and Warrant Shares or, if the Shares or Warrant Shares are issued in book-entry form, a written request for legend removal:</w:t>
      </w:r>
    </w:p>
    <w:p>
      <w:pPr>
        <w:spacing w:after="0" w:line="5" w:lineRule="exact"/>
        <w:rPr>
          <w:sz w:val="20"/>
          <w:szCs w:val="20"/>
          <w:color w:val="auto"/>
        </w:rPr>
      </w:pPr>
    </w:p>
    <w:p>
      <w:pPr>
        <w:ind w:left="640" w:right="659" w:hanging="3"/>
        <w:spacing w:after="0" w:line="265" w:lineRule="auto"/>
        <w:tabs>
          <w:tab w:leader="none" w:pos="791"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any sale of such Shares or Warrant Shares pursuant to Rule 144 or any other applicable exemption from the registration requirements under the Securities Act, or (ii) following the time that the Secondary Registration Statement or the Remainder Registration Statement is declared effective. If a legend removal request is made pursuant to the foregoing, the Company will, no later than the Standard Settlement Period following the delivery by a Purchaser to the Company or the Company’s transfer agent of a legended certificate representing such Shares and Warrant Shares (or a request for legend removal, in the case of Shares or Warrant Shares issued in book-entry form), deliver or cause to be delivered to such Purchaser a certificate representing such Shares or Warrant Shares that is free from all restrictive legends or an equivalent book-entry position, as requested by the Purchaser. Certificates for Shares or Warrant Shares free from all restrictive legends may be transmitted by the Company’s transfer agent to a Purchaser by crediting the account of the Purchaser’s prime broker with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xml:space="preserve">”) as directed by such Purchaser. The Company warrants that the Shares or Warrant Shares shall otherwise be freely transferable on the books and records of the Company as and to the extent provided in this Agreement. If a Purchaser effects a transfer of the Shares or Warrant Shares in accordance with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2"/>
          <w:szCs w:val="12"/>
          <w:u w:val="single" w:color="auto"/>
          <w:color w:val="auto"/>
        </w:rPr>
        <w:t>Section 8.9</w:t>
      </w:r>
      <w:r>
        <w:rPr>
          <w:rFonts w:ascii="Times New Roman" w:cs="Times New Roman" w:eastAsia="Times New Roman" w:hAnsi="Times New Roman"/>
          <w:sz w:val="12"/>
          <w:szCs w:val="12"/>
          <w:color w:val="auto"/>
        </w:rPr>
        <w:t xml:space="preserve"> is predicated upon the Company’s reliance that such Purchaser will sell any such Shares or Warrant Shares pursuant to either the registration requirements of the Securities Act, including any applicable prospectus delivery requirements, or an exemption therefrom, and such Purchaser shall deliver a certificate reasonably satisfactory to the Company to the foregoing effect. Prior to the Company and its transfer agent agreeing to a form of representation letter to be given in connection with any legend removal opinion, the Company shall allow each Purchaser to review such form and shall cooperate, reasonably and in good faith, and accept reasonable comments thereto from the Purchasers;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in no event shall the Purchaser be required to agree to indemnify, defend or hold harmless any Person.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29" w:right="1440" w:bottom="1440" w:gutter="0" w:footer="0" w:header="0"/>
        </w:sectPr>
      </w:pPr>
    </w:p>
    <w:bookmarkStart w:id="80" w:name="page81"/>
    <w:bookmarkEnd w:id="80"/>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8.10 Use of Proceeds</w:t>
      </w:r>
      <w:r>
        <w:rPr>
          <w:rFonts w:ascii="Times New Roman" w:cs="Times New Roman" w:eastAsia="Times New Roman" w:hAnsi="Times New Roman"/>
          <w:sz w:val="13"/>
          <w:szCs w:val="13"/>
          <w:color w:val="auto"/>
        </w:rPr>
        <w:t>. The Company shall use the net proceeds from the sale of the Securities hereunder to fund research and development of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product candidates, working capital and general corporate purposes.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8.11 Stockholder Approval</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693"/>
        <w:spacing w:after="0" w:line="245" w:lineRule="auto"/>
        <w:tabs>
          <w:tab w:leader="none" w:pos="1515" w:val="left"/>
        </w:tabs>
        <w:numPr>
          <w:ilvl w:val="0"/>
          <w:numId w:val="1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the extent required under the applicable rules and regulations of The Nasdaq Capital Market (or any successor entity), the Company shall hold an annual or special meeting of stockholders (or seek stockholder approval by written consent if permitted under the Company’s Certificate of Incorporation, Bylaws, and applicable Law) on or prior to the date that is ninety (90) days following the Closing Date (the “</w:t>
      </w:r>
      <w:r>
        <w:rPr>
          <w:rFonts w:ascii="Times New Roman" w:cs="Times New Roman" w:eastAsia="Times New Roman" w:hAnsi="Times New Roman"/>
          <w:sz w:val="13"/>
          <w:szCs w:val="13"/>
          <w:b w:val="1"/>
          <w:bCs w:val="1"/>
          <w:i w:val="1"/>
          <w:iCs w:val="1"/>
          <w:color w:val="auto"/>
        </w:rPr>
        <w:t>Stockholder Approval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Deadline</w:t>
      </w:r>
      <w:r>
        <w:rPr>
          <w:rFonts w:ascii="Times New Roman" w:cs="Times New Roman" w:eastAsia="Times New Roman" w:hAnsi="Times New Roman"/>
          <w:sz w:val="13"/>
          <w:szCs w:val="13"/>
          <w:color w:val="auto"/>
        </w:rPr>
        <w:t>”) for the purpose of obtaining Stockholder Approval, with the recommendation of the Company’s Board of Directors that such proposal be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approved, and the Company shall solicit proxies from its stockholders in connection therewith in the same manner as all other management proposals in such proxy statement, and all management-appointed proxyholders shall vote their proxies in favor of such proposal. If the Company does not obtain Stockholder Approval at the first meeting, the Company shall call a meeting every ninety (90) days thereafter to seek Stockholder Approval until the earlier of (i) the Stockholder Approval Date or (ii) (A) with respect to the Series A Warrants, 18 months after the Closing Date and (B) with respect to the Series B Warrants, June 25, 2031. Each Purchaser, severally and not jointly, hereby agrees that, for so long as such Purchaser beneficially owns any Securities, such Purchaser shall appear at each stockholder meeting called for the purpose of obtaining Stockholder Approval (including any adjournment or postponement thereof), in person or by proxy.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SECTION 9. NOTICES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jc w:val="both"/>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32" w:lineRule="exact"/>
        <w:rPr>
          <w:sz w:val="20"/>
          <w:szCs w:val="20"/>
          <w:color w:val="auto"/>
        </w:rPr>
      </w:pPr>
    </w:p>
    <w:p>
      <w:pPr>
        <w:ind w:left="1640" w:hanging="311"/>
        <w:spacing w:after="0"/>
        <w:tabs>
          <w:tab w:leader="none" w:pos="1640"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to the Company, to:</w:t>
      </w:r>
    </w:p>
    <w:p>
      <w:pPr>
        <w:spacing w:after="0" w:line="153" w:lineRule="exact"/>
        <w:rPr>
          <w:rFonts w:ascii="Times New Roman" w:cs="Times New Roman" w:eastAsia="Times New Roman" w:hAnsi="Times New Roman"/>
          <w:sz w:val="13"/>
          <w:szCs w:val="13"/>
          <w:b w:val="1"/>
          <w:bCs w:val="1"/>
          <w:color w:val="auto"/>
        </w:rPr>
      </w:pP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CalciMedica, Inc.</w:t>
      </w:r>
    </w:p>
    <w:p>
      <w:pPr>
        <w:spacing w:after="0" w:line="15" w:lineRule="exact"/>
        <w:rPr>
          <w:rFonts w:ascii="Times New Roman" w:cs="Times New Roman" w:eastAsia="Times New Roman" w:hAnsi="Times New Roman"/>
          <w:sz w:val="13"/>
          <w:szCs w:val="13"/>
          <w:b w:val="1"/>
          <w:bCs w:val="1"/>
          <w:color w:val="auto"/>
        </w:rPr>
      </w:pPr>
    </w:p>
    <w:p>
      <w:pPr>
        <w:ind w:left="1640" w:right="5979"/>
        <w:spacing w:after="0" w:line="24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505 Coast Boulevard South Suite 307</w:t>
      </w: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La Jolla, CA, 92037</w:t>
      </w:r>
    </w:p>
    <w:p>
      <w:pPr>
        <w:spacing w:after="0" w:line="2" w:lineRule="exact"/>
        <w:rPr>
          <w:rFonts w:ascii="Times New Roman" w:cs="Times New Roman" w:eastAsia="Times New Roman" w:hAnsi="Times New Roman"/>
          <w:sz w:val="13"/>
          <w:szCs w:val="13"/>
          <w:b w:val="1"/>
          <w:bCs w:val="1"/>
          <w:color w:val="auto"/>
        </w:rPr>
      </w:pP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Attn: A. Rachel Leheny, Ph.D.</w:t>
      </w:r>
    </w:p>
    <w:p>
      <w:pPr>
        <w:spacing w:after="0" w:line="2" w:lineRule="exact"/>
        <w:rPr>
          <w:rFonts w:ascii="Times New Roman" w:cs="Times New Roman" w:eastAsia="Times New Roman" w:hAnsi="Times New Roman"/>
          <w:sz w:val="13"/>
          <w:szCs w:val="13"/>
          <w:b w:val="1"/>
          <w:bCs w:val="1"/>
          <w:color w:val="auto"/>
        </w:rPr>
      </w:pP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Email: rachel@calcimedica.com</w:t>
      </w:r>
    </w:p>
    <w:p>
      <w:pPr>
        <w:spacing w:after="0" w:line="140" w:lineRule="exact"/>
        <w:rPr>
          <w:rFonts w:ascii="Times New Roman" w:cs="Times New Roman" w:eastAsia="Times New Roman" w:hAnsi="Times New Roman"/>
          <w:sz w:val="13"/>
          <w:szCs w:val="13"/>
          <w:b w:val="1"/>
          <w:bCs w:val="1"/>
          <w:color w:val="auto"/>
        </w:rPr>
      </w:pP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with a copy to (which shall not constitute notice):</w:t>
      </w:r>
    </w:p>
    <w:p>
      <w:pPr>
        <w:spacing w:after="0" w:line="153" w:lineRule="exact"/>
        <w:rPr>
          <w:rFonts w:ascii="Times New Roman" w:cs="Times New Roman" w:eastAsia="Times New Roman" w:hAnsi="Times New Roman"/>
          <w:sz w:val="13"/>
          <w:szCs w:val="13"/>
          <w:b w:val="1"/>
          <w:bCs w:val="1"/>
          <w:color w:val="auto"/>
        </w:rPr>
      </w:pP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Cooley LLP</w:t>
      </w:r>
    </w:p>
    <w:p>
      <w:pPr>
        <w:spacing w:after="0" w:line="15" w:lineRule="exact"/>
        <w:rPr>
          <w:rFonts w:ascii="Times New Roman" w:cs="Times New Roman" w:eastAsia="Times New Roman" w:hAnsi="Times New Roman"/>
          <w:sz w:val="13"/>
          <w:szCs w:val="13"/>
          <w:b w:val="1"/>
          <w:bCs w:val="1"/>
          <w:color w:val="auto"/>
        </w:rPr>
      </w:pPr>
    </w:p>
    <w:p>
      <w:pPr>
        <w:ind w:left="1640" w:right="6079"/>
        <w:spacing w:after="0" w:line="26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color w:val="auto"/>
        </w:rPr>
        <w:t>10265 Science Center Dr. San Diego, CA 92121</w:t>
      </w: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Attn: Thomas A. Coll; Carlos A. Ramirez</w:t>
      </w:r>
    </w:p>
    <w:p>
      <w:pPr>
        <w:spacing w:after="0" w:line="2" w:lineRule="exact"/>
        <w:rPr>
          <w:rFonts w:ascii="Times New Roman" w:cs="Times New Roman" w:eastAsia="Times New Roman" w:hAnsi="Times New Roman"/>
          <w:sz w:val="13"/>
          <w:szCs w:val="13"/>
          <w:b w:val="1"/>
          <w:bCs w:val="1"/>
          <w:color w:val="auto"/>
        </w:rPr>
      </w:pPr>
    </w:p>
    <w:p>
      <w:pPr>
        <w:ind w:left="16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Email: collta@cooley.com; cramirez@cooley.com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or to such other Person at such other place as the Company shall designate to the Purchasers in writing; and</w:t>
      </w:r>
    </w:p>
    <w:p>
      <w:pPr>
        <w:spacing w:after="0" w:line="154" w:lineRule="exact"/>
        <w:rPr>
          <w:sz w:val="20"/>
          <w:szCs w:val="20"/>
          <w:color w:val="auto"/>
        </w:rPr>
      </w:pPr>
    </w:p>
    <w:p>
      <w:pPr>
        <w:ind w:left="640" w:right="739" w:firstLine="693"/>
        <w:spacing w:after="0" w:line="267" w:lineRule="auto"/>
        <w:tabs>
          <w:tab w:leader="none" w:pos="1522" w:val="left"/>
        </w:tabs>
        <w:numPr>
          <w:ilvl w:val="0"/>
          <w:numId w:val="10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to the Purchasers, to the applicable address set forth on such Purchaser’s signature page hereto or to such other Person at such other place as the Purchasers shall designate to the Company in writing.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29" w:right="1440" w:bottom="1440" w:gutter="0" w:footer="0" w:header="0"/>
        </w:sectPr>
      </w:pPr>
    </w:p>
    <w:bookmarkStart w:id="81" w:name="page82"/>
    <w:bookmarkEnd w:id="8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10. MISCELLANEOUS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t>10.1 Waivers and Amendments</w:t>
      </w:r>
      <w:r>
        <w:rPr>
          <w:rFonts w:ascii="Times New Roman" w:cs="Times New Roman" w:eastAsia="Times New Roman" w:hAnsi="Times New Roman"/>
          <w:sz w:val="13"/>
          <w:szCs w:val="13"/>
          <w:color w:val="auto"/>
        </w:rPr>
        <w:t>. Neither this Agreement nor any provision hereof may be changed, waived, discharged, terminated, modified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amended except upon the written consent of the Company and, if prior to the Closing, Purchasers that have subscribed for at least 66.7% of the Securities to be issued hereunder, and, if after the Closing, Purchasers holding at least 66.7% of the Securities issued hereunder and then held by all Purchasers, in the case of any change, discharge, termination, modification, or of the party hereto against whom the waiver is to be effective, in the case of a waiver,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(a) if any amendment or waiver disproportionately and adversely affects a Purchaser (or a subset of Purchasers) in any material respect, the consent of such disproportionately affected Purchaser (or each Purchaser within such subset of Purchasers) shall also be required and (b) the consent of each Purchaser shall be required for any change in the Purchase Price, any change in the type of security to be issued to Purchasers at Closing, or the amendment, modification or waiver of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of any of the closing conditions set forth in </w:t>
      </w:r>
      <w:r>
        <w:rPr>
          <w:rFonts w:ascii="Times New Roman" w:cs="Times New Roman" w:eastAsia="Times New Roman" w:hAnsi="Times New Roman"/>
          <w:sz w:val="13"/>
          <w:szCs w:val="13"/>
          <w:u w:val="single" w:color="auto"/>
          <w:color w:val="auto"/>
        </w:rPr>
        <w:t>Sections 3.2(b)(i)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3.2(b)(iii)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3.2(b)(v)</w:t>
      </w:r>
      <w:r>
        <w:rPr>
          <w:rFonts w:ascii="Times New Roman" w:cs="Times New Roman" w:eastAsia="Times New Roman" w:hAnsi="Times New Roman"/>
          <w:sz w:val="13"/>
          <w:szCs w:val="13"/>
          <w:color w:val="auto"/>
        </w:rPr>
        <w:t xml:space="preser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The failure of any party at any time to require another party’s performance of any obligation under this Agreement shall not affect the right subsequently to require performance of that obligation. Notwithstanding the foregoing or anything else herein to the contrary, no amendment, modification, alteration, change or waiver of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shall be valid without the prior written consent of the Placement Agents, which consent may be granted or withheld in the sole discretion of the Placement Agents.</w:t>
      </w:r>
    </w:p>
    <w:p>
      <w:pPr>
        <w:spacing w:after="0" w:line="137"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10.2 Headings; Interpretation</w:t>
      </w:r>
      <w:r>
        <w:rPr>
          <w:rFonts w:ascii="Times New Roman" w:cs="Times New Roman" w:eastAsia="Times New Roman" w:hAnsi="Times New Roman"/>
          <w:sz w:val="13"/>
          <w:szCs w:val="13"/>
          <w:color w:val="auto"/>
        </w:rPr>
        <w:t>. The headings of the various sections of this Agreement have been inserted for convenience of reference only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32"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10.3 Severability</w:t>
      </w:r>
      <w:r>
        <w:rPr>
          <w:rFonts w:ascii="Times New Roman" w:cs="Times New Roman" w:eastAsia="Times New Roman" w:hAnsi="Times New Roman"/>
          <w:sz w:val="13"/>
          <w:szCs w:val="13"/>
          <w:color w:val="auto"/>
        </w:rPr>
        <w:t>. In case any provision contained in this Agreement should be invalid, illegal or unenforceable in any respect, the validity,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legality and enforceability of the remaining provisions contained herein shall not in any way be affected or impaired thereby.</w:t>
      </w:r>
    </w:p>
    <w:p>
      <w:pPr>
        <w:spacing w:after="0" w:line="119"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10.4 Survival</w:t>
      </w:r>
      <w:r>
        <w:rPr>
          <w:rFonts w:ascii="Times New Roman" w:cs="Times New Roman" w:eastAsia="Times New Roman" w:hAnsi="Times New Roman"/>
          <w:sz w:val="13"/>
          <w:szCs w:val="13"/>
          <w:color w:val="auto"/>
        </w:rPr>
        <w:t>. The representations and warranties contained herein shall survive the Closing and the delivery of the Securities. The agreements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covenants contained herein shall survive for the applicable statute of limitations.</w:t>
      </w:r>
    </w:p>
    <w:p>
      <w:pPr>
        <w:spacing w:after="0" w:line="119"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t>10.5 Governing Law; Jurisdiction</w:t>
      </w:r>
      <w:r>
        <w:rPr>
          <w:rFonts w:ascii="Times New Roman" w:cs="Times New Roman" w:eastAsia="Times New Roman" w:hAnsi="Times New Roman"/>
          <w:sz w:val="12"/>
          <w:szCs w:val="12"/>
          <w:color w:val="auto"/>
        </w:rPr>
        <w:t>. This Agreement shall be governed by and interpreted in accordance with the substantive laws of the State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 or, to the extent no such court does not have subject matter jurisdiction, the state courts of the State of New York located in New York, New York (the “</w:t>
      </w:r>
      <w:r>
        <w:rPr>
          <w:rFonts w:ascii="Times New Roman" w:cs="Times New Roman" w:eastAsia="Times New Roman" w:hAnsi="Times New Roman"/>
          <w:sz w:val="12"/>
          <w:szCs w:val="12"/>
          <w:b w:val="1"/>
          <w:bCs w:val="1"/>
          <w:i w:val="1"/>
          <w:iCs w:val="1"/>
          <w:color w:val="auto"/>
        </w:rPr>
        <w:t>Specified Courts</w:t>
      </w:r>
      <w:r>
        <w:rPr>
          <w:rFonts w:ascii="Times New Roman" w:cs="Times New Roman" w:eastAsia="Times New Roman" w:hAnsi="Times New Roman"/>
          <w:sz w:val="12"/>
          <w:szCs w:val="12"/>
          <w:color w:val="auto"/>
        </w:rPr>
        <w:t>”). Each of the parties hereto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29" w:right="1440" w:bottom="1440" w:gutter="0" w:footer="0" w:header="0"/>
        </w:sectPr>
      </w:pPr>
    </w:p>
    <w:bookmarkStart w:id="82" w:name="page83"/>
    <w:bookmarkEnd w:id="82"/>
    <w:p>
      <w:pPr>
        <w:ind w:left="640" w:right="7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10.6 Counterparts. </w:t>
      </w:r>
      <w:r>
        <w:rPr>
          <w:rFonts w:ascii="Times New Roman" w:cs="Times New Roman" w:eastAsia="Times New Roman" w:hAnsi="Times New Roman"/>
          <w:sz w:val="13"/>
          <w:szCs w:val="13"/>
          <w:color w:val="auto"/>
        </w:rPr>
        <w:t>This Agreement may be executed in counterparts, each of which shall constitute an original, but all of which, when taken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31"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t xml:space="preserve">10.7 Successors and Assigns. </w:t>
      </w:r>
      <w:r>
        <w:rPr>
          <w:rFonts w:ascii="Times New Roman" w:cs="Times New Roman" w:eastAsia="Times New Roman" w:hAnsi="Times New Roman"/>
          <w:sz w:val="12"/>
          <w:szCs w:val="12"/>
          <w:color w:val="auto"/>
        </w:rPr>
        <w:t>Except as otherwise expressly provided herein, the provisions hereof shall inure to the benefit of, and be binding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upon, the successors, assigns, heirs, executors and administrators of the parties hereto. None of the Purchasers may assign this Agreement or any rights or obligations hereunder, in whole or in part, without the prior written consent of the Company, such consent not to be unreasonably withheld, conditioned or delayed;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a Purchaser may assign its rights and delegate its duties hereunder in whole or in part to an Affiliate or to a third party acquiring some or all of the Securities in a transaction complying with applicable securities laws without the prior written consent of the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such assignee agrees in writing to be bound by the provisions hereof that apply to Purchasers. The Company may not assign this Agreement or any rights or obligations hereunder, in whole or in part, without the prior written consent of all Purchasers.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“Units,” “Shares”, “Series A Warrants,” “Series B Warrants”, “Pre-Funded Warrants”, or “Warrant Shares” shall be deemed to refer to the securities received by the Purchasers in exchange therefor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25"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10.8 No Third-Party Beneficiaries</w:t>
      </w:r>
      <w:r>
        <w:rPr>
          <w:rFonts w:ascii="Times New Roman" w:cs="Times New Roman" w:eastAsia="Times New Roman" w:hAnsi="Times New Roman"/>
          <w:sz w:val="13"/>
          <w:szCs w:val="13"/>
          <w:color w:val="auto"/>
        </w:rPr>
        <w:t>. This Agreement is intended for the benefit of the parties hereto and the Placement Agents and their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10.8</w:t>
      </w:r>
      <w:r>
        <w:rPr>
          <w:rFonts w:ascii="Times New Roman" w:cs="Times New Roman" w:eastAsia="Times New Roman" w:hAnsi="Times New Roman"/>
          <w:sz w:val="13"/>
          <w:szCs w:val="13"/>
          <w:color w:val="auto"/>
        </w:rPr>
        <w:t xml:space="preserve">. Notwithstanding the foregoing, the Placement Agents shall be the third-party beneficiaries of the representations and warranties of the Company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of this Agreement and the representations and warranties of the Purchasers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of this Agreement. The parties further agree that the Placement Agents may rely on or, if the Placement Agents so request, be specifically named as an addressee of, the Opinion.</w:t>
      </w:r>
    </w:p>
    <w:p>
      <w:pPr>
        <w:spacing w:after="0" w:line="135"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10.9 Entire Agreement</w:t>
      </w:r>
      <w:r>
        <w:rPr>
          <w:rFonts w:ascii="Times New Roman" w:cs="Times New Roman" w:eastAsia="Times New Roman" w:hAnsi="Times New Roman"/>
          <w:sz w:val="13"/>
          <w:szCs w:val="13"/>
          <w:color w:val="auto"/>
        </w:rPr>
        <w:t>. This Agreement and the other documents and instruments delivered pursuant hereto or thereto, including the exhibits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schedules hereto or thereto, constitute the full and entire understanding and agreement between the parties hereto with regard to the subjects hereof and thereof and supersede all prior agreements and understandings, both oral and written, between the parties with respect to the subject matter hereof and thereof,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confidentiality agreement that the Company and any Purchaser may have entered into in contemplation of potentially entering into this Agreement, shall survive in accordance with its terms and provisions.</w:t>
      </w:r>
    </w:p>
    <w:p>
      <w:pPr>
        <w:spacing w:after="0" w:line="131"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b w:val="1"/>
          <w:bCs w:val="1"/>
          <w:color w:val="auto"/>
        </w:rPr>
        <w:t>10.10 Independent Nature of Purchasers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Obligations and Rights</w:t>
      </w:r>
      <w:r>
        <w:rPr>
          <w:rFonts w:ascii="Times New Roman" w:cs="Times New Roman" w:eastAsia="Times New Roman" w:hAnsi="Times New Roman"/>
          <w:sz w:val="12"/>
          <w:szCs w:val="12"/>
          <w:color w:val="auto"/>
        </w:rPr>
        <w:t>. The obligations of each Purchaser under this Agreement are several and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joint with the obligations of any other Purchaser, and no Purchaser shall be responsible in any way for the performance of the obligations of any other Purchaser under this Agreement. The decision of each Purchaser to purchase Units pursuant to this Agreement has been made by such Purchaser independently of any other Purchaser.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(within the meaning of Section 13(d) of the Exchange Act or otherwise), or are deemed affiliates (as such term is defined under the Exchange Act) with respect to such obligations or the transactions contemplated by this Agreement. Each Purchaser shall be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29" w:right="1440" w:bottom="1440" w:gutter="0" w:footer="0" w:header="0"/>
        </w:sectPr>
      </w:pPr>
    </w:p>
    <w:bookmarkStart w:id="83" w:name="page84"/>
    <w:bookmarkEnd w:id="83"/>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entitled to independently protect and enforce its rights, including the rights arising out of this Agreement, and it shall not be necessary for any other Purchaser to be joined as an additional party in any proceeding for such purpose. Each Purchaser acknowledges (i) that it is not relying upon any Person other than the Company and its officers and directors, in making its investment or decision to invest in the Company and (ii) no other Purchaser has acted as agent for such Purchaser in connection with making its investment hereunder and that no Purchaser will be acting as agent of such Purchaser in connection with monitoring its investment in the Securities or enforcing its rights hereunder.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Securities. The Company acknowledges that each of the Purchasers has been provided with the same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25" w:lineRule="exact"/>
        <w:rPr>
          <w:sz w:val="20"/>
          <w:szCs w:val="20"/>
          <w:color w:val="auto"/>
        </w:rPr>
      </w:pPr>
    </w:p>
    <w:p>
      <w:pPr>
        <w:ind w:left="640" w:right="739" w:firstLine="309"/>
        <w:spacing w:after="0" w:line="280" w:lineRule="auto"/>
        <w:rPr>
          <w:sz w:val="20"/>
          <w:szCs w:val="20"/>
          <w:color w:val="auto"/>
        </w:rPr>
      </w:pPr>
      <w:r>
        <w:rPr>
          <w:rFonts w:ascii="Times New Roman" w:cs="Times New Roman" w:eastAsia="Times New Roman" w:hAnsi="Times New Roman"/>
          <w:sz w:val="12"/>
          <w:szCs w:val="12"/>
          <w:b w:val="1"/>
          <w:bCs w:val="1"/>
          <w:color w:val="auto"/>
        </w:rPr>
        <w:t>10.11 Payment of Fees and Expenses</w:t>
      </w:r>
      <w:r>
        <w:rPr>
          <w:rFonts w:ascii="Times New Roman" w:cs="Times New Roman" w:eastAsia="Times New Roman" w:hAnsi="Times New Roman"/>
          <w:sz w:val="12"/>
          <w:szCs w:val="12"/>
          <w:color w:val="auto"/>
        </w:rPr>
        <w:t>. Except as otherwise provided herein or in the other documents or instruments contemplated hereby, 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1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10.12 Further Actions</w:t>
      </w:r>
      <w:r>
        <w:rPr>
          <w:rFonts w:ascii="Times New Roman" w:cs="Times New Roman" w:eastAsia="Times New Roman" w:hAnsi="Times New Roman"/>
          <w:sz w:val="13"/>
          <w:szCs w:val="13"/>
          <w:color w:val="auto"/>
        </w:rPr>
        <w:t>. Each party hereto agrees to execute, acknowledge, and deliver such further instruments, and to do all such other acts,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be reasonably necessary or appropriate in order to carry out the purposes and intent of this Agreement.</w:t>
      </w:r>
    </w:p>
    <w:p>
      <w:pPr>
        <w:spacing w:after="0" w:line="119" w:lineRule="exact"/>
        <w:rPr>
          <w:sz w:val="20"/>
          <w:szCs w:val="20"/>
          <w:color w:val="auto"/>
        </w:rPr>
      </w:pPr>
    </w:p>
    <w:p>
      <w:pPr>
        <w:ind w:left="640" w:right="679" w:firstLine="309"/>
        <w:spacing w:after="0" w:line="258" w:lineRule="auto"/>
        <w:rPr>
          <w:sz w:val="20"/>
          <w:szCs w:val="20"/>
          <w:color w:val="auto"/>
        </w:rPr>
      </w:pPr>
      <w:r>
        <w:rPr>
          <w:rFonts w:ascii="Times New Roman" w:cs="Times New Roman" w:eastAsia="Times New Roman" w:hAnsi="Times New Roman"/>
          <w:sz w:val="12"/>
          <w:szCs w:val="12"/>
          <w:b w:val="1"/>
          <w:bCs w:val="1"/>
          <w:color w:val="auto"/>
        </w:rPr>
        <w:t>10.13 Securities Law Disclosure</w:t>
      </w:r>
      <w:r>
        <w:rPr>
          <w:rFonts w:ascii="Times New Roman" w:cs="Times New Roman" w:eastAsia="Times New Roman" w:hAnsi="Times New Roman"/>
          <w:sz w:val="12"/>
          <w:szCs w:val="12"/>
          <w:color w:val="auto"/>
        </w:rPr>
        <w:t>. By no later than 9:00 A.M., New York City time, on the Trading Day immediately following the Effective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this Agreement is executed between midnight and 9:00 A.M., New York City time on any Trading Day, no later than 9:01 A.M. on the Effective Date), the Company shall issue a press release and/or file a Current Report on Form 8-K with the Commission (the “</w:t>
      </w:r>
      <w:r>
        <w:rPr>
          <w:rFonts w:ascii="Times New Roman" w:cs="Times New Roman" w:eastAsia="Times New Roman" w:hAnsi="Times New Roman"/>
          <w:sz w:val="12"/>
          <w:szCs w:val="12"/>
          <w:b w:val="1"/>
          <w:bCs w:val="1"/>
          <w:i w:val="1"/>
          <w:iCs w:val="1"/>
          <w:color w:val="auto"/>
        </w:rPr>
        <w:t>Disclosure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Document</w:t>
      </w:r>
      <w:r>
        <w:rPr>
          <w:rFonts w:ascii="Times New Roman" w:cs="Times New Roman" w:eastAsia="Times New Roman" w:hAnsi="Times New Roman"/>
          <w:sz w:val="12"/>
          <w:szCs w:val="12"/>
          <w:color w:val="auto"/>
        </w:rPr>
        <w:t>”) disclosing all material terms of the transactions contemplated by this Agreement;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each of the Purchasers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Placement Agents shall be given a reasonable opportunity to review and comment on the disclosure contained in the Disclosure Document prior to issuance or filing. In addition, unless it has already done so by filing the Disclosure Document, on or before the fourth (4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Business Day following the Effective Date, the Company shall file a Current Report on Form 8-K with the Commission disclosing all material terms of the transactions contemplated by this Agreement. From and after the issuance of the Disclosure Document, no Purchaser shall be in possession of any material non-public information received from the Company or from any other representative of the Company in connection with the transactions contemplated by this Agreement, except in the case of information that may have been provided pursuant to any confidentiality agreement between the Company and a Purchaser or agreement between the Placement Agents and such Purchaser. Except for the Disclosure Document and the Current Report on Form 8-K contemplated by this </w:t>
      </w:r>
      <w:r>
        <w:rPr>
          <w:rFonts w:ascii="Times New Roman" w:cs="Times New Roman" w:eastAsia="Times New Roman" w:hAnsi="Times New Roman"/>
          <w:sz w:val="12"/>
          <w:szCs w:val="12"/>
          <w:u w:val="single" w:color="auto"/>
          <w:color w:val="auto"/>
        </w:rPr>
        <w:t>Section 10.13</w:t>
      </w:r>
      <w:r>
        <w:rPr>
          <w:rFonts w:ascii="Times New Roman" w:cs="Times New Roman" w:eastAsia="Times New Roman" w:hAnsi="Times New Roman"/>
          <w:sz w:val="12"/>
          <w:szCs w:val="12"/>
          <w:color w:val="auto"/>
        </w:rPr>
        <w:t xml:space="preserve">, all public announcements regarding this Agreement shall be issued only in accordance with </w:t>
      </w:r>
      <w:r>
        <w:rPr>
          <w:rFonts w:ascii="Times New Roman" w:cs="Times New Roman" w:eastAsia="Times New Roman" w:hAnsi="Times New Roman"/>
          <w:sz w:val="12"/>
          <w:szCs w:val="12"/>
          <w:u w:val="single" w:color="auto"/>
          <w:color w:val="auto"/>
        </w:rPr>
        <w:t>Section 10.15</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b w:val="1"/>
          <w:bCs w:val="1"/>
          <w:color w:val="auto"/>
        </w:rPr>
        <w:t xml:space="preserve">10.14 Termination. </w:t>
      </w:r>
      <w:r>
        <w:rPr>
          <w:rFonts w:ascii="Times New Roman" w:cs="Times New Roman" w:eastAsia="Times New Roman" w:hAnsi="Times New Roman"/>
          <w:sz w:val="13"/>
          <w:szCs w:val="13"/>
          <w:color w:val="auto"/>
        </w:rPr>
        <w:t>This Agreement (i) shall be terminated automatically if the Closing has not been consummated on or prior to the fifth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Business Day from the Effective Date, or (ii) may be terminated by a Purchaser (with respect to itself) if any of the conditions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 xml:space="preserve"> shall have become incapable of fulfillment, and shall not have been waived by such Purchaser,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no such termination will affect the right of any party to sue for any breach by the other party (or parties), and, upon such termination pursuant to this</w:t>
      </w:r>
    </w:p>
    <w:p>
      <w:pPr>
        <w:spacing w:after="0" w:line="1" w:lineRule="exact"/>
        <w:rPr>
          <w:sz w:val="20"/>
          <w:szCs w:val="20"/>
          <w:color w:val="auto"/>
        </w:rPr>
      </w:pPr>
    </w:p>
    <w:p>
      <w:pPr>
        <w:ind w:left="640" w:right="79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any purchase price wired to the Company by a Purchaser shall be promptly returned to the Purchaser, but in no event later than the first Trading Day following such termination.</w:t>
      </w:r>
    </w:p>
    <w:p>
      <w:pPr>
        <w:spacing w:after="0" w:line="134" w:lineRule="exact"/>
        <w:rPr>
          <w:sz w:val="20"/>
          <w:szCs w:val="20"/>
          <w:color w:val="auto"/>
        </w:rPr>
      </w:pPr>
    </w:p>
    <w:p>
      <w:pPr>
        <w:ind w:left="640" w:right="699" w:firstLine="309"/>
        <w:spacing w:after="0" w:line="273" w:lineRule="auto"/>
        <w:rPr>
          <w:sz w:val="20"/>
          <w:szCs w:val="20"/>
          <w:color w:val="auto"/>
        </w:rPr>
      </w:pPr>
      <w:r>
        <w:rPr>
          <w:rFonts w:ascii="Times New Roman" w:cs="Times New Roman" w:eastAsia="Times New Roman" w:hAnsi="Times New Roman"/>
          <w:sz w:val="12"/>
          <w:szCs w:val="12"/>
          <w:b w:val="1"/>
          <w:bCs w:val="1"/>
          <w:color w:val="auto"/>
        </w:rPr>
        <w:t>10.15 Public Announcement</w:t>
      </w:r>
      <w:r>
        <w:rPr>
          <w:rFonts w:ascii="Times New Roman" w:cs="Times New Roman" w:eastAsia="Times New Roman" w:hAnsi="Times New Roman"/>
          <w:sz w:val="12"/>
          <w:szCs w:val="12"/>
          <w:color w:val="auto"/>
        </w:rPr>
        <w:t>. The Company shall not publicly disclose the name of any Purchaser or investment adviser of any Purchaser,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include the name of any Purchaser or an Affiliate of any Purchaser without the prior written consent of such Purchaser (i) in any press release or marketing materials or (ii) in any filing with the Commission or any regulatory agency or Trading Market, except as required by U.S. federal securities law (A) in connection with any Secondary Registration Statement or the Remainder Registration Statement contemplated by this Agreement and (B) to the extent such disclosure is required by law, request of the Commission’s staff or Trading Market regulations, in which case the Company shall provide the Purchasers with prior written notice of and an opportunity to review such disclosure permitted under this subclause (ii).</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84" w:name="page85"/>
    <w:bookmarkEnd w:id="8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10.16 Reliance by and Exculpation of Placement Agent</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65" w:lineRule="auto"/>
        <w:tabs>
          <w:tab w:leader="none" w:pos="1515" w:val="left"/>
        </w:tabs>
        <w:numPr>
          <w:ilvl w:val="1"/>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Purchaser agrees for the express benefit of the Placement Agents, their affiliates and their representatives that (i) it is not relying upon, and has not relied upon, any statement, representation or warranty made by the Placement Agents, any of their affiliates or any of their representatives, in making its investment or decision to invest in the Company, (ii) the Placement Agents are acting solely as placement agents in connection with the transactions contemplated hereby and are not acting as an underwriter, initial purchaser, dealer or in any other such capacity and are not and shall not be construed as a fiduciary for such Purchaser, (iii) the Placement Agents, their affiliates and representatives have not made, and will not make any representations or warranties with respect to the Company or the offer and sale of the Securities or any other matter concerning the Company or the transactions contemplated hereby, and the Purchaser will not rely on any statements made by the Placement Agents, orally or in writing, to the contrary, (iv) the Purchaser will be responsible for conducting its own due diligence investigation with respect to the Company and the offer and sale of the Securities, (v) the Purchaser will be purchasing Securities based on the results of its own due diligence investigation of the Company and the Placement Agents and each of its directors, officers, employees, representatives, and controlling persons have made no independent investigation with respect to the Company, the Securities, or the accuracy, completeness, or adequacy of any information supplied to the Purchaser by the Company,</w:t>
      </w:r>
    </w:p>
    <w:p>
      <w:pPr>
        <w:spacing w:after="0" w:line="4" w:lineRule="exact"/>
        <w:rPr>
          <w:rFonts w:ascii="Times New Roman" w:cs="Times New Roman" w:eastAsia="Times New Roman" w:hAnsi="Times New Roman"/>
          <w:sz w:val="12"/>
          <w:szCs w:val="12"/>
          <w:b w:val="1"/>
          <w:bCs w:val="1"/>
          <w:color w:val="auto"/>
        </w:rPr>
      </w:pPr>
    </w:p>
    <w:p>
      <w:pPr>
        <w:ind w:left="640" w:right="679" w:hanging="3"/>
        <w:spacing w:after="0" w:line="268" w:lineRule="auto"/>
        <w:tabs>
          <w:tab w:leader="none" w:pos="854"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Purchaser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Purchaser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16 shall survive any termination of this Agreement.</w:t>
      </w:r>
    </w:p>
    <w:p>
      <w:pPr>
        <w:spacing w:after="0" w:line="123" w:lineRule="exact"/>
        <w:rPr>
          <w:rFonts w:ascii="Times New Roman" w:cs="Times New Roman" w:eastAsia="Times New Roman" w:hAnsi="Times New Roman"/>
          <w:sz w:val="12"/>
          <w:szCs w:val="12"/>
          <w:color w:val="auto"/>
        </w:rPr>
      </w:pPr>
    </w:p>
    <w:p>
      <w:pPr>
        <w:ind w:left="640" w:right="1079" w:firstLine="693"/>
        <w:spacing w:after="0" w:line="286" w:lineRule="auto"/>
        <w:tabs>
          <w:tab w:leader="none" w:pos="1522" w:val="left"/>
        </w:tabs>
        <w:numPr>
          <w:ilvl w:val="1"/>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agrees and acknowledges that the Placement Agents may rely on its representations, warranties, agreements and covenants contained in this Agreement and each Purchaser agrees that the Placement Agents may rely on such Purchaser’s representations and warranties contained in this Agreement as if such representations and warranties, as applicable, were made directly to the Placement Agents.</w:t>
      </w:r>
    </w:p>
    <w:p>
      <w:pPr>
        <w:spacing w:after="0" w:line="113" w:lineRule="exact"/>
        <w:rPr>
          <w:rFonts w:ascii="Times New Roman" w:cs="Times New Roman" w:eastAsia="Times New Roman" w:hAnsi="Times New Roman"/>
          <w:sz w:val="12"/>
          <w:szCs w:val="12"/>
          <w:b w:val="1"/>
          <w:bCs w:val="1"/>
          <w:color w:val="auto"/>
        </w:rPr>
      </w:pPr>
    </w:p>
    <w:p>
      <w:pPr>
        <w:ind w:left="640" w:right="659" w:firstLine="693"/>
        <w:spacing w:after="0" w:line="271" w:lineRule="auto"/>
        <w:tabs>
          <w:tab w:leader="none" w:pos="1508" w:val="left"/>
        </w:tabs>
        <w:numPr>
          <w:ilvl w:val="1"/>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Neither the Placement Agents nor any of their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this Agreement, the Pre-Funded Warrants, and the Warrants (collectively, the “</w:t>
      </w:r>
      <w:r>
        <w:rPr>
          <w:rFonts w:ascii="Times New Roman" w:cs="Times New Roman" w:eastAsia="Times New Roman" w:hAnsi="Times New Roman"/>
          <w:sz w:val="12"/>
          <w:szCs w:val="12"/>
          <w:b w:val="1"/>
          <w:bCs w:val="1"/>
          <w:color w:val="auto"/>
        </w:rPr>
        <w:t>Transaction Agreements</w:t>
      </w:r>
      <w:r>
        <w:rPr>
          <w:rFonts w:ascii="Times New Roman" w:cs="Times New Roman" w:eastAsia="Times New Roman" w:hAnsi="Times New Roman"/>
          <w:sz w:val="12"/>
          <w:szCs w:val="12"/>
          <w:color w:val="auto"/>
        </w:rPr>
        <w:t>”)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spacing w:after="0" w:line="120"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10.17 </w:t>
      </w:r>
      <w:r>
        <w:rPr>
          <w:rFonts w:ascii="Times New Roman" w:cs="Times New Roman" w:eastAsia="Times New Roman" w:hAnsi="Times New Roman"/>
          <w:sz w:val="13"/>
          <w:szCs w:val="13"/>
          <w:color w:val="auto"/>
        </w:rPr>
        <w:t>The Company agrees that the Placement Agents, their respective affiliates and their respective representatives shall be entitled to (1) rely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shall be protected in acting upon, any certificate, instrument, opinion, notice, letter or any other document or security delivered to any Placement Agent or any Purchaser by or on behalf of the Company, and (2) be indemnified by the Company for acting as a Placement Agent in accordance with the indemnification provisions set forth in the Placement Agent Agreement.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0"/>
          <w:szCs w:val="10"/>
          <w:i w:val="1"/>
          <w:iCs w:val="1"/>
          <w:color w:val="auto"/>
        </w:rPr>
        <w:t>SIGNATURE PAGES FOLLOW</w:t>
      </w:r>
      <w:r>
        <w:rPr>
          <w:rFonts w:ascii="Times New Roman" w:cs="Times New Roman" w:eastAsia="Times New Roman" w:hAnsi="Times New Roman"/>
          <w:sz w:val="13"/>
          <w:szCs w:val="13"/>
          <w:i w:val="1"/>
          <w:iCs w:val="1"/>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29" w:right="1440" w:bottom="1440" w:gutter="0" w:footer="0" w:header="0"/>
        </w:sectPr>
      </w:pPr>
    </w:p>
    <w:bookmarkStart w:id="85" w:name="page86"/>
    <w:bookmarkEnd w:id="85"/>
    <w:p>
      <w:pPr>
        <w:ind w:left="640" w:right="12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Securities Purchase Agreement to be executed by their duly authorized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representatives as of the day and year first above written.</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COMPANY:</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CALCIMEDICA,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SECURITIES PURCHASE AGREEMENT]</w:t>
      </w:r>
    </w:p>
    <w:p>
      <w:pPr>
        <w:sectPr>
          <w:pgSz w:w="11900" w:h="16838" w:orient="portrait"/>
          <w:cols w:equalWidth="0" w:num="1">
            <w:col w:w="9019"/>
          </w:cols>
          <w:pgMar w:left="1440" w:top="229" w:right="1440" w:bottom="1440" w:gutter="0" w:footer="0" w:header="0"/>
        </w:sectPr>
      </w:pPr>
    </w:p>
    <w:bookmarkStart w:id="86" w:name="page87"/>
    <w:bookmarkEnd w:id="86"/>
    <w:p>
      <w:pPr>
        <w:ind w:left="640" w:right="12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Securities Purchase Agreement to be executed by their duly authorized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representatives as of the day and year first above written.</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PURCHASER: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[____]</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SECURITIES PURCHASE AGREEMENT]</w:t>
      </w:r>
    </w:p>
    <w:p>
      <w:pPr>
        <w:sectPr>
          <w:pgSz w:w="11900" w:h="16838" w:orient="portrait"/>
          <w:cols w:equalWidth="0" w:num="1">
            <w:col w:w="9019"/>
          </w:cols>
          <w:pgMar w:left="1440" w:top="229"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Purchasers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12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shares of</w:t>
            </w:r>
          </w:p>
        </w:tc>
        <w:tc>
          <w:tcPr>
            <w:tcW w:w="7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9"/>
              </w:rPr>
              <w:t>shares of</w:t>
            </w:r>
          </w:p>
        </w:tc>
        <w:tc>
          <w:tcPr>
            <w:tcW w:w="74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shares of</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Common</w:t>
            </w:r>
          </w:p>
        </w:tc>
        <w:tc>
          <w:tcPr>
            <w:tcW w:w="76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rPr>
              <w:t>Common</w:t>
            </w:r>
          </w:p>
        </w:tc>
        <w:tc>
          <w:tcPr>
            <w:tcW w:w="74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Common</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78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76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74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640" w:type="dxa"/>
            <w:vAlign w:val="bottom"/>
            <w:gridSpan w:val="2"/>
            <w:vMerge w:val="continue"/>
          </w:tcPr>
          <w:p>
            <w:pPr>
              <w:spacing w:after="0"/>
              <w:rPr>
                <w:sz w:val="9"/>
                <w:szCs w:val="9"/>
                <w:color w:val="auto"/>
              </w:rPr>
            </w:pPr>
          </w:p>
        </w:tc>
        <w:tc>
          <w:tcPr>
            <w:tcW w:w="78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underlying</w:t>
            </w:r>
          </w:p>
        </w:tc>
        <w:tc>
          <w:tcPr>
            <w:tcW w:w="7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underlying</w:t>
            </w:r>
          </w:p>
        </w:tc>
        <w:tc>
          <w:tcPr>
            <w:tcW w:w="74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Purchase</w:t>
            </w:r>
          </w:p>
        </w:tc>
        <w:tc>
          <w:tcPr>
            <w:tcW w:w="0" w:type="dxa"/>
            <w:vAlign w:val="bottom"/>
          </w:tcPr>
          <w:p>
            <w:pPr>
              <w:spacing w:after="0"/>
              <w:rPr>
                <w:sz w:val="1"/>
                <w:szCs w:val="1"/>
                <w:color w:val="auto"/>
              </w:rPr>
            </w:pPr>
          </w:p>
        </w:tc>
      </w:tr>
      <w:tr>
        <w:trPr>
          <w:trHeight w:val="104"/>
        </w:trPr>
        <w:tc>
          <w:tcPr>
            <w:tcW w:w="12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8"/>
              </w:rPr>
              <w:t>Purchaser Name and Address</w:t>
            </w:r>
          </w:p>
        </w:tc>
        <w:tc>
          <w:tcPr>
            <w:tcW w:w="24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4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78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Pre-Funded</w:t>
            </w:r>
          </w:p>
        </w:tc>
        <w:tc>
          <w:tcPr>
            <w:tcW w:w="76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rPr>
              <w:t>Series A</w:t>
            </w:r>
          </w:p>
        </w:tc>
        <w:tc>
          <w:tcPr>
            <w:tcW w:w="74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Series B</w:t>
            </w:r>
          </w:p>
        </w:tc>
        <w:tc>
          <w:tcPr>
            <w:tcW w:w="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6"/>
              </w:rPr>
              <w:t>Price of</w:t>
            </w:r>
          </w:p>
        </w:tc>
        <w:tc>
          <w:tcPr>
            <w:tcW w:w="0" w:type="dxa"/>
            <w:vAlign w:val="bottom"/>
          </w:tcPr>
          <w:p>
            <w:pPr>
              <w:spacing w:after="0"/>
              <w:rPr>
                <w:sz w:val="1"/>
                <w:szCs w:val="1"/>
                <w:color w:val="auto"/>
              </w:rPr>
            </w:pPr>
          </w:p>
        </w:tc>
      </w:tr>
      <w:tr>
        <w:trPr>
          <w:trHeight w:val="131"/>
        </w:trPr>
        <w:tc>
          <w:tcPr>
            <w:tcW w:w="1280" w:type="dxa"/>
            <w:vAlign w:val="bottom"/>
            <w:tcBorders>
              <w:bottom w:val="single" w:sz="8" w:color="auto"/>
            </w:tcBorders>
            <w:vMerge w:val="continue"/>
          </w:tcPr>
          <w:p>
            <w:pPr>
              <w:spacing w:after="0"/>
              <w:rPr>
                <w:sz w:val="11"/>
                <w:szCs w:val="11"/>
                <w:color w:val="auto"/>
              </w:rPr>
            </w:pPr>
          </w:p>
        </w:tc>
        <w:tc>
          <w:tcPr>
            <w:tcW w:w="2420" w:type="dxa"/>
            <w:vAlign w:val="bottom"/>
          </w:tcPr>
          <w:p>
            <w:pPr>
              <w:spacing w:after="0"/>
              <w:rPr>
                <w:sz w:val="11"/>
                <w:szCs w:val="11"/>
                <w:color w:val="auto"/>
              </w:rPr>
            </w:pPr>
          </w:p>
        </w:tc>
        <w:tc>
          <w:tcPr>
            <w:tcW w:w="64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0"/>
                <w:szCs w:val="10"/>
                <w:b w:val="1"/>
                <w:bCs w:val="1"/>
                <w:color w:val="auto"/>
              </w:rPr>
              <w:t>of Units</w:t>
            </w:r>
          </w:p>
        </w:tc>
        <w:tc>
          <w:tcPr>
            <w:tcW w:w="640" w:type="dxa"/>
            <w:vAlign w:val="bottom"/>
            <w:gridSpan w:val="2"/>
          </w:tcPr>
          <w:p>
            <w:pPr>
              <w:jc w:val="center"/>
              <w:ind w:right="280"/>
              <w:spacing w:after="0" w:line="112"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780" w:type="dxa"/>
            <w:vAlign w:val="bottom"/>
            <w:gridSpan w:val="2"/>
          </w:tcPr>
          <w:p>
            <w:pPr>
              <w:jc w:val="center"/>
              <w:ind w:right="280"/>
              <w:spacing w:after="0" w:line="112"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76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740" w:type="dxa"/>
            <w:vAlign w:val="bottom"/>
            <w:gridSpan w:val="2"/>
          </w:tcPr>
          <w:p>
            <w:pPr>
              <w:jc w:val="center"/>
              <w:ind w:right="280"/>
              <w:spacing w:after="0" w:line="112"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4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Securities</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31"/>
        </w:trPr>
        <w:tc>
          <w:tcPr>
            <w:tcW w:w="128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[Name]</w:t>
            </w:r>
          </w:p>
        </w:tc>
        <w:tc>
          <w:tcPr>
            <w:tcW w:w="24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0"/>
              </w:rPr>
              <w:t>[•]</w:t>
            </w:r>
          </w:p>
        </w:tc>
        <w:tc>
          <w:tcPr>
            <w:tcW w:w="2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0"/>
              </w:rPr>
              <w:t>[•]</w:t>
            </w: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0"/>
              </w:rPr>
              <w:t>[•]</w:t>
            </w: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tcPr>
          <w:p>
            <w:pPr>
              <w:spacing w:after="0"/>
              <w:rPr>
                <w:sz w:val="13"/>
                <w:szCs w:val="13"/>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[Name]</w:t>
            </w:r>
          </w:p>
        </w:tc>
        <w:tc>
          <w:tcPr>
            <w:tcW w:w="24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2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0"/>
              </w:rPr>
              <w:t>[•]</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0"/>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56515</wp:posOffset>
            </wp:positionV>
            <wp:extent cx="54165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85" w:lineRule="exact"/>
        <w:rPr>
          <w:sz w:val="20"/>
          <w:szCs w:val="20"/>
          <w:color w:val="auto"/>
        </w:rPr>
      </w:pPr>
    </w:p>
    <w:p>
      <w:pPr>
        <w:ind w:left="940" w:right="759" w:hanging="303"/>
        <w:spacing w:after="0" w:line="206" w:lineRule="auto"/>
        <w:tabs>
          <w:tab w:leader="none" w:pos="940" w:val="left"/>
        </w:tabs>
        <w:numPr>
          <w:ilvl w:val="0"/>
          <w:numId w:val="10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For any Purchaser that is an officer, director, employee or consultant of the Company, the Purchase Price shall be adjusted, if necessary, to be the greater of $0.8033 or the “consolidated closing bid price” as of the Effective Date in compliance with Nasdaq Listing Rule 5635(c).</w:t>
      </w:r>
    </w:p>
    <w:p>
      <w:pPr>
        <w:sectPr>
          <w:pgSz w:w="11900" w:h="16838" w:orient="portrait"/>
          <w:cols w:equalWidth="0" w:num="1">
            <w:col w:w="9019"/>
          </w:cols>
          <w:pgMar w:left="1440" w:top="229"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B</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Company Wire Instructions</w:t>
      </w:r>
    </w:p>
    <w:p>
      <w:pPr>
        <w:sectPr>
          <w:pgSz w:w="11900" w:h="16838" w:orient="portrait"/>
          <w:cols w:equalWidth="0" w:num="1">
            <w:col w:w="9019"/>
          </w:cols>
          <w:pgMar w:left="1440" w:top="229"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C</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Rachel Leheny, Ph.D.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Michael J. Dunn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Stephen Bardin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Sudarshan Hebbar, M.D.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Eric W. Roberts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Kenneth A. Stauderman, Ph.D.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Alan Glicklich, M.D.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Fred Middleton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Frederic Guerard, Pharm.D.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Allan Shaw</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Robert N. Wilson</w:t>
      </w:r>
    </w:p>
    <w:p>
      <w:pPr>
        <w:sectPr>
          <w:pgSz w:w="11900" w:h="16838" w:orient="portrait"/>
          <w:cols w:equalWidth="0" w:num="1">
            <w:col w:w="9019"/>
          </w:cols>
          <w:pgMar w:left="1440" w:top="229"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ectPr>
          <w:pgSz w:w="11900" w:h="16838" w:orient="portrait"/>
          <w:cols w:equalWidth="0" w:num="1">
            <w:col w:w="9019"/>
          </w:cols>
          <w:pgMar w:left="1440" w:top="229"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Series A Warrant</w:t>
      </w:r>
    </w:p>
    <w:p>
      <w:pPr>
        <w:sectPr>
          <w:pgSz w:w="11900" w:h="16838" w:orient="portrait"/>
          <w:cols w:equalWidth="0" w:num="1">
            <w:col w:w="9019"/>
          </w:cols>
          <w:pgMar w:left="1440" w:top="229"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Series B Warrant</w:t>
      </w:r>
    </w:p>
    <w:p>
      <w:pPr>
        <w:sectPr>
          <w:pgSz w:w="11900" w:h="16838" w:orient="portrait"/>
          <w:cols w:equalWidth="0" w:num="1">
            <w:col w:w="9019"/>
          </w:cols>
          <w:pgMar w:left="1440" w:top="229"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D&amp;O Lock-up</w:t>
      </w:r>
    </w:p>
    <w:p>
      <w:pPr>
        <w:sectPr>
          <w:pgSz w:w="11900" w:h="16838" w:orient="portrait"/>
          <w:cols w:equalWidth="0" w:num="1">
            <w:col w:w="9019"/>
          </w:cols>
          <w:pgMar w:left="1440" w:top="229" w:right="1440" w:bottom="1440" w:gutter="0" w:footer="0" w:header="0"/>
        </w:sectPr>
      </w:pPr>
    </w:p>
    <w:bookmarkStart w:id="94" w:name="page95"/>
    <w:bookmarkEnd w:id="9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119380</wp:posOffset>
            </wp:positionV>
            <wp:extent cx="1823085" cy="3613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2308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Announces Clinical Development of Auxora May Proceed Following FDA Review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KOURAGE Trial Interim Safety Data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FDA reviewed a protocol amendment and interim safety data from the KOURAGE trial evaluating Auxora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AKI patients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No comments or questions were received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Confirms CalciMedica’s ability to continue clinical development of Auxora across indications</w:t>
      </w:r>
    </w:p>
    <w:p>
      <w:pPr>
        <w:spacing w:after="0" w:line="156" w:lineRule="exact"/>
        <w:rPr>
          <w:sz w:val="20"/>
          <w:szCs w:val="20"/>
          <w:color w:val="auto"/>
        </w:rPr>
      </w:pPr>
    </w:p>
    <w:p>
      <w:pPr>
        <w:ind w:left="640" w:right="679"/>
        <w:spacing w:after="0" w:line="256" w:lineRule="auto"/>
        <w:rPr>
          <w:sz w:val="20"/>
          <w:szCs w:val="20"/>
          <w:color w:val="auto"/>
        </w:rPr>
      </w:pPr>
      <w:r>
        <w:rPr>
          <w:rFonts w:ascii="Times New Roman" w:cs="Times New Roman" w:eastAsia="Times New Roman" w:hAnsi="Times New Roman"/>
          <w:sz w:val="13"/>
          <w:szCs w:val="13"/>
          <w:color w:val="auto"/>
        </w:rPr>
        <w:t>LA JOLLA, Calif., June 24, 2026 – CalciMedica, Inc. (“CalciMedica” or the “Company”) (Nasdaq: CALC), a clinical-stage biopharmaceutical company developing novel calcium release-activated calcium (CRAC) channel inhibition therapies for serious inflammatory, immunologic, and cardiopulmonary diseases, today announced that the U.S. Food and Drug Administration (FDA) has reviewed a protocol amendment and interim safety data for CalciMedica’s Phase 2 KOURAGE trial in patients with Stage 2 or Stage 3 acute kidney injury (AKI) with associated acute hypoxemic respiratory failure (AHRF). Following the applicable review period, the Company has received no comments from the FDA on the submission, meaning that CalciMedica may continue to dose patients with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in the study.</w:t>
      </w:r>
    </w:p>
    <w:p>
      <w:pPr>
        <w:spacing w:after="0" w:line="4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In January 2026, CalciMedica announced a pause in enrollment for the Phase 2 KOURAGE trial following a recommendation from the trial’s Independent Data Monitoring Committee (IDMC) regarding a safety concern relating to a mortality imbalance that warranted reevaluation of the study design. The IDMC did not identify evidence of drug-related toxicity, and the Company’s comprehensive review, performed in conjunction with external experts, reached the same conclusion while identifying imbalances in patients’ baseline disease severity that necessitated revisions to the protocol design.</w:t>
      </w:r>
    </w:p>
    <w:p>
      <w:pPr>
        <w:spacing w:after="0" w:line="134" w:lineRule="exact"/>
        <w:rPr>
          <w:sz w:val="20"/>
          <w:szCs w:val="20"/>
          <w:color w:val="auto"/>
        </w:rPr>
      </w:pPr>
    </w:p>
    <w:p>
      <w:pPr>
        <w:ind w:left="640" w:right="639"/>
        <w:spacing w:after="0" w:line="246" w:lineRule="auto"/>
        <w:rPr>
          <w:sz w:val="20"/>
          <w:szCs w:val="20"/>
          <w:color w:val="auto"/>
        </w:rPr>
      </w:pPr>
      <w:r>
        <w:rPr>
          <w:rFonts w:ascii="Times New Roman" w:cs="Times New Roman" w:eastAsia="Times New Roman" w:hAnsi="Times New Roman"/>
          <w:sz w:val="13"/>
          <w:szCs w:val="13"/>
          <w:color w:val="auto"/>
        </w:rPr>
        <w:t>In March 2026, CalciMedica submitted an amendment to the KOURAGE trial to address design issues, which included refinements to patient inclusion criteria and changes to stratification methodology. The submission included a comprehensive safety assessment of the 107 patients who were dosed prior to the pause in enrollment, including cause-of-death information for all deaths and an analysis of serious adverse events (SAEs). Based on the Company’s review, the observed SAEs were consistent with previous clinical experience with Auxora and did not appear to be drug related. The FDA has confirmed that the Clinical Pharmacology team of the Division of Cardiology and Nephrology has no comments regarding this submission. As the KOURAGE trial was never placed on clinical hold, and the decision to pause enrollment was made solely at the discretion of the Company, the FDA is not obligated to respond to the IND amendment. Following more than 60 days of review, the information contained in the amendment has resulted in no comments or questions from the FDA and no clinical hold communication.</w:t>
      </w:r>
    </w:p>
    <w:p>
      <w:pPr>
        <w:spacing w:after="0" w:line="139"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CalciMedica expects feedback from the FDA on the design of a potential pivotal program evaluating Auxora in acute pancreatitis in the third quarter of 2026.</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CalciMedica</w:t>
      </w:r>
    </w:p>
    <w:p>
      <w:pPr>
        <w:spacing w:after="0" w:line="80" w:lineRule="exact"/>
        <w:rPr>
          <w:sz w:val="20"/>
          <w:szCs w:val="20"/>
          <w:color w:val="auto"/>
        </w:rPr>
      </w:pPr>
    </w:p>
    <w:p>
      <w:pPr>
        <w:ind w:left="640" w:right="719"/>
        <w:spacing w:after="0" w:line="234" w:lineRule="auto"/>
        <w:rPr>
          <w:sz w:val="20"/>
          <w:szCs w:val="20"/>
          <w:color w:val="auto"/>
        </w:rPr>
      </w:pPr>
      <w:r>
        <w:rPr>
          <w:rFonts w:ascii="Times New Roman" w:cs="Times New Roman" w:eastAsia="Times New Roman" w:hAnsi="Times New Roman"/>
          <w:sz w:val="13"/>
          <w:szCs w:val="13"/>
          <w:color w:val="auto"/>
        </w:rPr>
        <w:t>CalciMedica is a clinical-stage biopharmaceutical company developing novel calcium release-activated calcium (CRAC) channel inhibition therapies for inflammatory, immunologic, and cardiopulmonary diseases. The Company’s pipeline includes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(zegocractin), its intravenous CRAC channel inhibitor, and CM5480, its proprietary, selective oral CRAC channel inhibitor candidate. Auxora has been evaluated in more than 350 patients across completed and ongoing clinical trials and is planned to be evaluated in a Phase 1b proof-of-concept study in patients with pulmonary arterial hypertension (PAH). CM5480 is being developed as a potential chronic oral therapy for chronic inflammatory diseases such as pulmonary hypertension (PH), with IND clearance expected in mid-2027. Together, the programs are intended to establish CRAC channel inhibition as a differentiated therapeutic approach targeting both pulmonary vascular remodeling and right ventricular dysfunction in PH. For more information, please visit </w:t>
      </w:r>
      <w:r>
        <w:rPr>
          <w:rFonts w:ascii="Times New Roman" w:cs="Times New Roman" w:eastAsia="Times New Roman" w:hAnsi="Times New Roman"/>
          <w:sz w:val="13"/>
          <w:szCs w:val="13"/>
          <w:u w:val="single" w:color="auto"/>
          <w:color w:val="auto"/>
        </w:rPr>
        <w:t>www.calcimedica.com</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Forward-Looking Statements </w:t>
      </w:r>
      <w:r>
        <w:rPr>
          <w:rFonts w:ascii="Times New Roman" w:cs="Times New Roman" w:eastAsia="Times New Roman" w:hAnsi="Times New Roman"/>
          <w:sz w:val="12"/>
          <w:szCs w:val="12"/>
          <w:color w:val="auto"/>
        </w:rPr>
        <w:t>This communication contains forward-looking statements which include, but are not limited to, statements regarding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CalciMedica’s clinical development plans for Auxora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including in acute kidney injury and acute pancreatitis; CalciMedica’s ability to continue dosing patients with Auxora in the KOURAGE trial or otherwise continue clinical development of Auxora following FDA review of the KOURAGE protocol amendment and interim safety data; CalciMedica’s interpretation of the FDA’s lack of comments or questions regarding the submission; the potential resumption, continuation, design, conduct, timing, enrollment or completion of the KOURAGE trial or any future clinical trial evaluating Auxora in AKI; the potential safety, efficacy, clinical utility and regulatory development path for Auxora; CalciMedica’s expectation to receive feedback from FDA regarding the design of a potential pivotal program evaluating Auxora in acute pancreatitis in the third quarter of 2026; CalciMedica’s plans to advance CM5480 as a potential oral therapy for PH; and the potential of CalciMedica’s proprietary technology to provide therapeutic benefits in inflammatory, immunologic and cardiopulmonary diseases. These forward-looking statements are subject to the safe harbor provisions under the Private Securities Litigation Reform Act of 1995. CalciMedica’s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impact of fluctuations in global financial markets on CalciMedica’s business and the actions it may take in response thereto; CalciMedica’s ability to execute its plans and strategies; the ability to obtain and maintain regulatory approval for Auxora and CM5480; results from clinical trials or preclinical studies may not be indicative of results that may be observed in the future; potential safety and other complications from Auxora and CM5480; the scope, progress and expansion of developing and commercializing Auxora; the size and growth of the market therefor and the rate and degree of market acceptance thereof; economic, business, competitive, and/or regulatory factors affecting the business of CalciMedica generally; CalciMedica’s ability to protect its intellectual property position; the impact of government laws and regulations; and CalciMedica’s financial position and need for additional capital. Additional risks and uncertainties that could cause actual outcomes and results to differ materially from those contemplated by the forward-looking statements are included under the caption “Risk Factors” in CalciMedica’s Quarterly Report on Form 10-Q for the quarter ended March 31, 2026, filed with the SEC on May 12, 2026, and elsewhere in CalciMedica’s subsequent reports on Form 10-K, Form 10-Q or Form 8-K filed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 the SEC from time to time and available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These documents can be accessed on CalciMedica’s web page</w:t>
      </w:r>
    </w:p>
    <w:p>
      <w:pPr>
        <w:spacing w:after="0" w:line="15" w:lineRule="exact"/>
        <w:rPr>
          <w:sz w:val="20"/>
          <w:szCs w:val="20"/>
          <w:color w:val="auto"/>
        </w:rPr>
      </w:pPr>
    </w:p>
    <w:p>
      <w:pPr>
        <w:ind w:left="640" w:right="839"/>
        <w:spacing w:after="0" w:line="246" w:lineRule="auto"/>
        <w:rPr>
          <w:sz w:val="20"/>
          <w:szCs w:val="20"/>
          <w:color w:val="auto"/>
        </w:rPr>
      </w:pPr>
      <w:r>
        <w:rPr>
          <w:rFonts w:ascii="Times New Roman" w:cs="Times New Roman" w:eastAsia="Times New Roman" w:hAnsi="Times New Roman"/>
          <w:sz w:val="13"/>
          <w:szCs w:val="13"/>
          <w:color w:val="auto"/>
        </w:rPr>
        <w:t>at ir.calcimedica.com/financials-filings/sec-filings. The forward-looking statements contained herein are made as of the date hereof, and CalciMedica undertakes no obligation to update them after this date,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-115570</wp:posOffset>
            </wp:positionV>
            <wp:extent cx="154749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7495" cy="5715"/>
                    </a:xfrm>
                    <a:prstGeom prst="rect">
                      <a:avLst/>
                    </a:prstGeom>
                    <a:noFill/>
                  </pic:spPr>
                </pic:pic>
              </a:graphicData>
            </a:graphic>
          </wp:anchor>
        </w:drawing>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 Information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Kevin Murphy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calcimedica@argotpartners.com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600-1902</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97" w:name="page98"/>
    <w:bookmarkEnd w:id="9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119380</wp:posOffset>
            </wp:positionV>
            <wp:extent cx="1823085" cy="3613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308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CalciMedica Announces Private Placement Financing for Up to Approximately $49 Million to Advance Pulmonary Hypertension Program</w:t>
      </w:r>
    </w:p>
    <w:p>
      <w:pPr>
        <w:spacing w:after="0" w:line="154" w:lineRule="exact"/>
        <w:rPr>
          <w:sz w:val="20"/>
          <w:szCs w:val="20"/>
          <w:color w:val="auto"/>
        </w:rPr>
      </w:pPr>
    </w:p>
    <w:p>
      <w:pPr>
        <w:jc w:val="center"/>
        <w:ind w:left="640" w:right="659"/>
        <w:spacing w:after="0" w:line="214" w:lineRule="auto"/>
        <w:rPr>
          <w:sz w:val="20"/>
          <w:szCs w:val="20"/>
          <w:color w:val="auto"/>
        </w:rPr>
      </w:pPr>
      <w:r>
        <w:rPr>
          <w:rFonts w:ascii="Times New Roman" w:cs="Times New Roman" w:eastAsia="Times New Roman" w:hAnsi="Times New Roman"/>
          <w:sz w:val="13"/>
          <w:szCs w:val="13"/>
          <w:i w:val="1"/>
          <w:iCs w:val="1"/>
          <w:color w:val="auto"/>
        </w:rPr>
        <w:t>Proceeds expected to support a focused pulmonary hypertension strategy, including a Phase 1b proof-of-concept study evaluating Auxora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in PAH, with data anticipated mid-2027, and advancement of oral CRAC channel inhibitor CM5480 to IND clearance expected mid-2027</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Anticipated cash runway into 2H 2027 with upfront proceeds</w:t>
      </w:r>
    </w:p>
    <w:p>
      <w:pPr>
        <w:spacing w:after="0" w:line="156" w:lineRule="exact"/>
        <w:rPr>
          <w:sz w:val="20"/>
          <w:szCs w:val="20"/>
          <w:color w:val="auto"/>
        </w:rPr>
      </w:pPr>
    </w:p>
    <w:p>
      <w:pPr>
        <w:jc w:val="both"/>
        <w:ind w:left="640" w:right="679"/>
        <w:spacing w:after="0" w:line="251" w:lineRule="auto"/>
        <w:rPr>
          <w:sz w:val="20"/>
          <w:szCs w:val="20"/>
          <w:color w:val="auto"/>
        </w:rPr>
      </w:pPr>
      <w:r>
        <w:rPr>
          <w:rFonts w:ascii="Times New Roman" w:cs="Times New Roman" w:eastAsia="Times New Roman" w:hAnsi="Times New Roman"/>
          <w:sz w:val="13"/>
          <w:szCs w:val="13"/>
          <w:color w:val="auto"/>
        </w:rPr>
        <w:t>LA JOLLA, Calif., June 24, 2026 – CalciMedica Inc. (“CalciMedica” or the “Company”) (Nasdaq: CALC), a clinical-stage biopharmaceutical company developing novel calcium release-activated calcium (CRAC) channel inhibition therapies for serious inflammatory, immunologic, and cardiopulmonary diseases, today announced it has entered into a definitive securities purchase agreement with leading healthcare investors for a private placement for up to approximately $49 million in gross proceeds.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financing includes participation from new and existing investors, including members of CalciMedica’s Board of Directors and management team. In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private placement, the Company will sell an aggregate of 18,673,429 units, with each unit comprised of (i) one share of its common stock or one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pre-funded warrant to purchase shares of common stock at an exercise price of $0.0001 per share, (ii) a right to receive one Series A warrant to purchase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shares of its common stock or pre-funded warrants to purchase shares of its common stock at an exercise price of $0.8033 per share, and (iii) a right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receive one Series B warrant to purchase shares of its common stock or pre-funded warrants to purchase shares of its common stock at an exercise price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$1.00 per share. The private placement is comprised of (i) upfront gross proceeds of approximately $15 million, representing a purchase price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$0.8033 for each unit or $0.8032 for each unit including a pre-funded warrant sold in lieu of common stock), (ii) Series A warrants with the potential for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up to an additional $15 million in gross proceeds if exercised in full, and (iii) Series B warrants with the potential for up to approximately an additional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$19 million in gross proceeds if exercised in full. Both Series A warrants and Series B warrants are issuable subject to stockholder approval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accordance with Nasdaq listing rules. The purchase price for each unit for the members of CalciMedica’s Board of Directors and management team will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 priced at or above the Nasdaq Consolidated Closing Bid Price as of June 23, 2026.</w:t>
      </w:r>
    </w:p>
    <w:p>
      <w:pPr>
        <w:spacing w:after="0" w:line="141" w:lineRule="exact"/>
        <w:rPr>
          <w:sz w:val="20"/>
          <w:szCs w:val="20"/>
          <w:color w:val="auto"/>
        </w:rPr>
      </w:pPr>
    </w:p>
    <w:p>
      <w:pPr>
        <w:ind w:left="640" w:right="659"/>
        <w:spacing w:after="0" w:line="232" w:lineRule="auto"/>
        <w:rPr>
          <w:sz w:val="20"/>
          <w:szCs w:val="20"/>
          <w:color w:val="auto"/>
        </w:rPr>
      </w:pPr>
      <w:r>
        <w:rPr>
          <w:rFonts w:ascii="Times New Roman" w:cs="Times New Roman" w:eastAsia="Times New Roman" w:hAnsi="Times New Roman"/>
          <w:sz w:val="13"/>
          <w:szCs w:val="13"/>
          <w:color w:val="auto"/>
        </w:rPr>
        <w:t>CalciMedica intends to use the proceeds to advance a focused pulmonary hypertension (PH) strategy built on its CRAC channel inhibition platform. The Company plans to conduct a capital-efficient Phase 1b proof-of-concept study evaluating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its intravenous CRAC channel inhibitor, in patients with pulmonary arterial hypertension (PAH), with data anticipated mid-2027. This study is intended to generate early human evidence for CRAC channel inhibition in PH and de-risk the development of CM5480, the Company’s proprietary oral CRAC channel inhibitor candidate for chronic treatment, for which IND clearance is anticipated in mid-2027. Proceeds are also expected to support continued IND-enabling activities for CM5480 and general corporate purposes.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98" w:name="page99"/>
    <w:bookmarkEnd w:id="98"/>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financing reflects strong validation from leading biotech investors of our strategy to develop a differentiated, mechanistically novel therapy for patients with pulmonary hypertension, where PAH represents an established multi-billion-dollar market and significant unmet need remains across the broader pulmonary hypertension spectrum,” said Rachel Leheny, Ph.D., Chief Executive Officer of CalciMedica. “Right ventricular failure is the principal driver of morbidity and mortality across PH, yet approved therapies act primarily on the pulmonary vasculature. CRAC channel inhibition has shown activity in both the pulmonary vasculature and the heart in preclinical models, and we believe it has the potential to be the first therapy to provide direct right ventricular support and anti-remodeling activity. With this capital, we expect to generate human proof-of-concept data with Auxora while advancing our oral candidate, CM5480, into the clinic.”</w:t>
      </w:r>
    </w:p>
    <w:p>
      <w:pPr>
        <w:spacing w:after="0" w:line="136" w:lineRule="exact"/>
        <w:rPr>
          <w:sz w:val="20"/>
          <w:szCs w:val="20"/>
          <w:color w:val="auto"/>
        </w:rPr>
      </w:pPr>
    </w:p>
    <w:p>
      <w:pPr>
        <w:ind w:left="640" w:right="719"/>
        <w:spacing w:after="0" w:line="272" w:lineRule="auto"/>
        <w:rPr>
          <w:sz w:val="20"/>
          <w:szCs w:val="20"/>
          <w:color w:val="auto"/>
        </w:rPr>
      </w:pPr>
      <w:r>
        <w:rPr>
          <w:rFonts w:ascii="Times New Roman" w:cs="Times New Roman" w:eastAsia="Times New Roman" w:hAnsi="Times New Roman"/>
          <w:sz w:val="12"/>
          <w:szCs w:val="12"/>
          <w:color w:val="auto"/>
        </w:rPr>
        <w:t>PH includes a diverse group of diseases, but progressive right ventricular dysfunction is a shared consequence and a key determinant of survival across disease groups. Orai1, the pore-forming subunit of the CRAC channel, is upregulated in diseased pulmonary vasculature and cardiac tissue, where persistent CRAC channel signaling has been linked to proliferation, inflammation, vasoconstriction, fibrosis, and remodeling. In preclinical PH models, CM5480 and other CRAC channel inhibitors have been observed to reduce pulmonary vascular resistance, improve cardiac output, reduce right ventricular hypertrophy and fibrosis, and improve left ventricular function. In a rodent pulmonary artery banding model, which isolates cardiac effects from pulmonary vascular effects, CRAC channel inhibition with CM5480 also demonstrated evidence of direct protective activity in the right ventricle.</w:t>
      </w:r>
    </w:p>
    <w:p>
      <w:pPr>
        <w:spacing w:after="0" w:line="123"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planned Auxora Phase 1b study is designed to deliver an early, capital-efficient clinical signal on CRAC channel inhibition in PH. Auxora has been evaluated in more than 350 patients across completed and ongoing clinical trials. Following the Company’s pause of enrollment in the Phase 2 KOURAGE trial of Auxora in acute kidney injury (AKI), comprehensive internal and external safety reviews identified no evidence of drug-related toxicity. CalciMedica subsequently submitted a protocol amendment and interim safety data to the FDA, and the agency completed its review without comments or questions, allowing clinical development of Auxora to proceed. The Company believes Auxora’s established safety profile supports its continued development across the PH program and other indications.</w:t>
      </w:r>
    </w:p>
    <w:p>
      <w:pPr>
        <w:spacing w:after="0" w:line="135"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preclinical animal model and genetic expression data supporting CRAC channel inhibition in pulmonary hypertension are compelling, particularly given the evidence of direct effects on cardiac function and right ventricular remodeling and failure,” said Sudarshan Hebbar, M.D., Chief Medical Officer of CalciMedica. “Auxora’s safety database allows us to move directly into a focused proof-of-concept design in PAH with hemodynamic and imaging endpoints. A positive signal would both establish Auxora’s potential in hospitalized PH settings and potentially de-risk our oral chronic-dosing program with CM5480.”</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Guggenheim Securities, LLC is acting as sole placement agent in connection with the private placement financing.</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99" w:name="page100"/>
    <w:bookmarkEnd w:id="9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offer and sale of the foregoing securities are being made in a transaction not involving a public offering and the securities to be sold in the private placement have not been registered under the Securities Act of 1933, as amended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 Pursuant to the securities purchase agreement, the Company has agreed to file a registration statement with the U.S. Securities and Exchange Commission (SEC) registering the resale of the shares of common stock issued in the private placement and the shares of common stock issuable upon the exercise of the pre-funded warrants, the Series A warrants (including upon exercise of any pre-funded warrants issued upon exercise of the Series A warrants), and the Series B warrants (including upon exercise of any pre-funded warrants issued upon exercise of the Series B warrants) issued in the private placement no later than the 30th day after the closing of the private placement.</w:t>
      </w:r>
    </w:p>
    <w:p>
      <w:pPr>
        <w:spacing w:after="0" w:line="137"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This press release shall not constitute an offer to sell or the solicitation of an offer to buy these securities, nor shall there be any offer, solicitation or sale of these securities in any jurisdiction in which such offer, solicitation or sale would be unlawful. Any offering of the securities under the resale registration statement will only be made by means of a prospectus.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CM5480 and Auxora</w:t>
      </w:r>
    </w:p>
    <w:p>
      <w:pPr>
        <w:spacing w:after="0" w:line="80" w:lineRule="exact"/>
        <w:rPr>
          <w:sz w:val="20"/>
          <w:szCs w:val="20"/>
          <w:color w:val="auto"/>
        </w:rPr>
      </w:pPr>
    </w:p>
    <w:p>
      <w:pPr>
        <w:ind w:left="640" w:right="759"/>
        <w:spacing w:after="0" w:line="226" w:lineRule="auto"/>
        <w:rPr>
          <w:sz w:val="20"/>
          <w:szCs w:val="20"/>
          <w:color w:val="auto"/>
        </w:rPr>
      </w:pPr>
      <w:r>
        <w:rPr>
          <w:rFonts w:ascii="Times New Roman" w:cs="Times New Roman" w:eastAsia="Times New Roman" w:hAnsi="Times New Roman"/>
          <w:sz w:val="13"/>
          <w:szCs w:val="13"/>
          <w:color w:val="auto"/>
        </w:rPr>
        <w:t>CM5480 is CalciMedica’s proprietary, selective, oral CRAC channel inhibitor candidate in preclinical development for chronic inflammatory diseases, with the potential to be a first-in-class, differentiated therapy targeting pulmonary vascular and right ventricular remodeling — key drivers of disease progression in PH.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(zegocractin) is CalciMedica’s intravenous CRAC channel inhibitor, which has been evaluated in more than 350 patients across completed and ongoing clinical trials in acute pancreatitis, severe COVID-19 pneumonia, and acute kidney injury.</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CalciMedica</w:t>
      </w:r>
    </w:p>
    <w:p>
      <w:pPr>
        <w:spacing w:after="0" w:line="80" w:lineRule="exact"/>
        <w:rPr>
          <w:sz w:val="20"/>
          <w:szCs w:val="20"/>
          <w:color w:val="auto"/>
        </w:rPr>
      </w:pPr>
    </w:p>
    <w:p>
      <w:pPr>
        <w:ind w:left="640" w:right="719"/>
        <w:spacing w:after="0" w:line="234" w:lineRule="auto"/>
        <w:rPr>
          <w:sz w:val="20"/>
          <w:szCs w:val="20"/>
          <w:color w:val="auto"/>
        </w:rPr>
      </w:pPr>
      <w:r>
        <w:rPr>
          <w:rFonts w:ascii="Times New Roman" w:cs="Times New Roman" w:eastAsia="Times New Roman" w:hAnsi="Times New Roman"/>
          <w:sz w:val="13"/>
          <w:szCs w:val="13"/>
          <w:color w:val="auto"/>
        </w:rPr>
        <w:t>CalciMedica is a clinical-stage biopharmaceutical company developing novel calcium release-activated calcium (CRAC) channel inhibition therapies for inflammatory, immunologic, and cardiopulmonary diseases. The Company’s pipeline includes Auxora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(zegocractin), its intravenous CRAC channel inhibitor, and CM5480, its proprietary, selective oral CRAC channel inhibitor candidate. Auxora has been evaluated in more than 350 patients across completed and ongoing clinical trials and is planned to be evaluated in a Phase 1b proof-of-concept study in patients with pulmonary arterial hypertension (PAH). CM5480 is being developed as a potential chronic oral therapy for chronic inflammatory diseases such as pulmonary hypertension (PH), with IND clearance expected in mid-2027. Together, the programs are intended to establish CRAC channel inhibition as a differentiated therapeutic approach targeting both pulmonary vascular remodeling and right ventricular dysfunction in PH. For more information, please visit </w:t>
      </w:r>
      <w:r>
        <w:rPr>
          <w:rFonts w:ascii="Times New Roman" w:cs="Times New Roman" w:eastAsia="Times New Roman" w:hAnsi="Times New Roman"/>
          <w:sz w:val="13"/>
          <w:szCs w:val="13"/>
          <w:u w:val="single" w:color="auto"/>
          <w:color w:val="auto"/>
        </w:rPr>
        <w:t>www.calcimedica.com.</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This communication contains forward-looking statements which include, but are not limited to, CalciMedica’s statements regarding the timing, size, and completion of the proposed private placement; the expected gross proceeds from the private placement, including any additional gross proceeds that may be received by the Company upon exercise, if any, of the warrants that are issuable upon stockholder approval; the anticipated use of proceeds and expected cash runway; CalciMedica’s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planned and ongoing preclinical and clinical activities and their expected timing, including the planned Auxora Phase 1b study in PAH and the anticipated timing of data therefrom; the planned IND submission for CM5480 and the expected timing for clearance thereof; the potential of CRAC channel inhibition and of CalciMedica’s product candidates to provide therapeutic benefit in PAH, PH, and other diseases; the expectation that the Phase 1b study of Auxora in PAH will be capital efficient and potentially generate early human evidence for CRAC channel inhibition in PH; the belief that CRAC channel inhibition has the potential to be the first therapy to provide direct right ventricular support and anti-remodeling activity; and the Company’s belief that Auxora’s safety profile supports its continued development across the PH program and other indications. These forward-looking statements are subject to the safe harbor provisions under the Private Securities Litigation Reform Act of 1995. CalciMedica’s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CalciMedica’s ability to satisfy the closing conditions of the private placement; the Company’s ability to obtain stockholder approval to issue the warrants; even if the warrants are issued the holders may never exercise such warrants and CalciMedica may not receive any additional proceeds therefrom; the impact of fluctuations in global financial markets on CalciMedica’s business and the actions it may take in response thereto; CalciMedica’s ability to execute its plans and strategies; the ability to obtain and maintain regulatory approval for Auxora and CM5480; results from clinical trials or preclinical studies may not be indicative of results that may be observed in the future; potential safety and other complications from Auxora and CM5480; the scope, progress and expansion of developing and commercializing Auxora and CM5480; the size and growth of the market therefor and the rate and degree of market acceptance thereof; economic, business, competitive, and/or regulatory factors affecting the business of CalciMedica generally; CalciMedica’s ability to protect its intellectual property position; the impact of government laws and regulations; and CalciMedica’s financial position and need for additional capital. Additional risks and uncertainties that could cause actual outcomes and results to differ materially from those contemplated by the forward-looking statements are included under the caption “Risk Factors” in CalciMedica’s Quarterly Report on Form 10-Q for the quarter ended March 31, 2026, filed with the SEC on May 12, 2026, and elsewhere in CalciMedica’s subsequent reports on Form 10-K, Form 10-Q or Form 8-K filed with the SEC from time to time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These documents can be accessed on CalciMedica’s web page</w:t>
      </w:r>
    </w:p>
    <w:p>
      <w:pPr>
        <w:spacing w:after="0" w:line="138" w:lineRule="exact"/>
        <w:rPr>
          <w:sz w:val="20"/>
          <w:szCs w:val="20"/>
          <w:color w:val="auto"/>
        </w:rPr>
      </w:pPr>
    </w:p>
    <w:p>
      <w:pPr>
        <w:ind w:left="640" w:right="1719"/>
        <w:spacing w:after="0" w:line="246" w:lineRule="auto"/>
        <w:rPr>
          <w:sz w:val="20"/>
          <w:szCs w:val="20"/>
          <w:color w:val="auto"/>
        </w:rPr>
      </w:pPr>
      <w:r>
        <w:rPr>
          <w:rFonts w:ascii="Times New Roman" w:cs="Times New Roman" w:eastAsia="Times New Roman" w:hAnsi="Times New Roman"/>
          <w:sz w:val="13"/>
          <w:szCs w:val="13"/>
          <w:color w:val="auto"/>
        </w:rPr>
        <w:t xml:space="preserve">at </w:t>
      </w:r>
      <w:r>
        <w:rPr>
          <w:rFonts w:ascii="Times New Roman" w:cs="Times New Roman" w:eastAsia="Times New Roman" w:hAnsi="Times New Roman"/>
          <w:sz w:val="13"/>
          <w:szCs w:val="13"/>
          <w:u w:val="single" w:color="auto"/>
          <w:color w:val="auto"/>
        </w:rPr>
        <w:t>ir.calcimedica.com/financials-filings/sec-filings</w:t>
      </w:r>
      <w:r>
        <w:rPr>
          <w:rFonts w:ascii="Times New Roman" w:cs="Times New Roman" w:eastAsia="Times New Roman" w:hAnsi="Times New Roman"/>
          <w:sz w:val="13"/>
          <w:szCs w:val="13"/>
          <w:color w:val="auto"/>
        </w:rPr>
        <w:t>. The forward-looking statements contained herein are made as of the date hereof, and CalciMedica undertakes no obligation to update them after this date, except as required by law.</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 Information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Kevin Murphy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calcimedica@argotpartners.com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600-1902</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1."/>
      <w:numFmt w:val="decimal"/>
      <w:start w:val="1"/>
    </w:lvl>
  </w:abstractNum>
  <w:abstractNum w:abstractNumId="2">
    <w:nsid w:val="649BB77C"/>
    <w:multiLevelType w:val="hybridMultilevel"/>
    <w:lvl w:ilvl="0">
      <w:lvlJc w:val="left"/>
      <w:lvlText w:val="%1."/>
      <w:numFmt w:val="decimal"/>
      <w:start w:val="2"/>
    </w:lvl>
    <w:lvl w:ilvl="1">
      <w:lvlJc w:val="left"/>
      <w:lvlText w:val="(%2)"/>
      <w:numFmt w:val="lowerLetter"/>
      <w:start w:val="1"/>
    </w:lvl>
  </w:abstractNum>
  <w:abstractNum w:abstractNumId="3">
    <w:nsid w:val="275AC7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
    <w:nsid w:val="3938657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
    <w:nsid w:val="1CF10FD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
    <w:nsid w:val="180115BE"/>
    <w:multiLevelType w:val="hybridMultilevel"/>
    <w:lvl w:ilvl="0">
      <w:lvlJc w:val="left"/>
      <w:lvlText w:val="%1"/>
      <w:numFmt w:val="decimal"/>
      <w:start w:val="1"/>
    </w:lvl>
    <w:lvl w:ilvl="1">
      <w:lvlJc w:val="left"/>
      <w:lvlText w:val="(%2)"/>
      <w:numFmt w:val="lowerLetter"/>
      <w:start w:val="3"/>
    </w:lvl>
  </w:abstractNum>
  <w:abstractNum w:abstractNumId="7">
    <w:nsid w:val="235BA861"/>
    <w:multiLevelType w:val="hybridMultilevel"/>
    <w:lvl w:ilvl="0">
      <w:lvlJc w:val="left"/>
      <w:lvlText w:val="%1."/>
      <w:numFmt w:val="decimal"/>
      <w:start w:val="6"/>
    </w:lvl>
    <w:lvl w:ilvl="1">
      <w:lvlJc w:val="left"/>
      <w:lvlText w:val="(%2)"/>
      <w:numFmt w:val="lowerLetter"/>
      <w:start w:val="1"/>
    </w:lvl>
  </w:abstractNum>
  <w:abstractNum w:abstractNumId="8">
    <w:nsid w:val="47398C89"/>
    <w:multiLevelType w:val="hybridMultilevel"/>
    <w:lvl w:ilvl="0">
      <w:lvlJc w:val="left"/>
      <w:lvlText w:val="%1"/>
      <w:numFmt w:val="lowerLetter"/>
      <w:start w:val="1"/>
    </w:lvl>
    <w:lvl w:ilvl="1">
      <w:lvlJc w:val="left"/>
      <w:lvlText w:val="(%2)"/>
      <w:numFmt w:val="lowerLetter"/>
      <w:start w:val="2"/>
    </w:lvl>
  </w:abstractNum>
  <w:abstractNum w:abstractNumId="9">
    <w:nsid w:val="354FE9F9"/>
    <w:multiLevelType w:val="hybridMultilevel"/>
    <w:lvl w:ilvl="0">
      <w:lvlJc w:val="left"/>
      <w:lvlText w:val="(%1)"/>
      <w:numFmt w:val="lowerLetter"/>
      <w:start w:val="61"/>
    </w:lvl>
    <w:lvl w:ilvl="1">
      <w:lvlJc w:val="left"/>
      <w:lvlText w:val="%2"/>
      <w:numFmt w:val="lowerLetter"/>
      <w:start w:val="1"/>
    </w:lvl>
  </w:abstractNum>
  <w:abstractNum w:abstractNumId="10">
    <w:nsid w:val="15B5AF5C"/>
    <w:multiLevelType w:val="hybridMultilevel"/>
    <w:lvl w:ilvl="0">
      <w:lvlJc w:val="left"/>
      <w:lvlText w:val="(%1)"/>
      <w:numFmt w:val="lowerLetter"/>
      <w:start w:val="5"/>
    </w:lvl>
  </w:abstractNum>
  <w:abstractNum w:abstractNumId="11">
    <w:nsid w:val="741226BB"/>
    <w:multiLevelType w:val="hybridMultilevel"/>
    <w:lvl w:ilvl="0">
      <w:lvlJc w:val="left"/>
      <w:lvlText w:val="%1."/>
      <w:numFmt w:val="decimal"/>
      <w:start w:val="10"/>
    </w:lvl>
  </w:abstractNum>
  <w:abstractNum w:abstractNumId="12">
    <w:nsid w:val="D34B6A8"/>
    <w:multiLevelType w:val="hybridMultilevel"/>
    <w:lvl w:ilvl="0">
      <w:lvlJc w:val="left"/>
      <w:lvlText w:val="%1."/>
      <w:numFmt w:val="decimal"/>
      <w:start w:val="11"/>
    </w:lvl>
    <w:lvl w:ilvl="1">
      <w:lvlJc w:val="left"/>
      <w:lvlText w:val="(%2)"/>
      <w:numFmt w:val="lowerLetter"/>
      <w:start w:val="1"/>
    </w:lvl>
  </w:abstractNum>
  <w:abstractNum w:abstractNumId="13">
    <w:nsid w:val="10233C99"/>
    <w:multiLevelType w:val="hybridMultilevel"/>
    <w:lvl w:ilvl="0">
      <w:lvlJc w:val="left"/>
      <w:lvlText w:val="%1"/>
      <w:numFmt w:val="decimal"/>
      <w:start w:val="1"/>
    </w:lvl>
    <w:lvl w:ilvl="1">
      <w:lvlJc w:val="left"/>
      <w:lvlText w:val="(%2)"/>
      <w:numFmt w:val="lowerLetter"/>
      <w:start w:val="2"/>
    </w:lvl>
  </w:abstractNum>
  <w:abstractNum w:abstractNumId="14">
    <w:nsid w:val="3F6AB60F"/>
    <w:multiLevelType w:val="hybridMultilevel"/>
    <w:lvl w:ilvl="0">
      <w:lvlJc w:val="left"/>
      <w:lvlText w:val="%1."/>
      <w:numFmt w:val="decimal"/>
      <w:start w:val="12"/>
    </w:lvl>
    <w:lvl w:ilvl="1">
      <w:lvlJc w:val="left"/>
      <w:lvlText w:val="%2"/>
      <w:numFmt w:val="lowerLetter"/>
      <w:start w:val="1"/>
    </w:lvl>
  </w:abstractNum>
  <w:abstractNum w:abstractNumId="15">
    <w:nsid w:val="61574095"/>
    <w:multiLevelType w:val="hybridMultilevel"/>
    <w:lvl w:ilvl="0">
      <w:lvlJc w:val="left"/>
      <w:lvlText w:val="%1."/>
      <w:numFmt w:val="decimal"/>
      <w:start w:val="14"/>
    </w:lvl>
  </w:abstractNum>
  <w:abstractNum w:abstractNumId="16">
    <w:nsid w:val="7E0C57B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7">
    <w:nsid w:val="77AE35EB"/>
    <w:multiLevelType w:val="hybridMultilevel"/>
    <w:lvl w:ilvl="0">
      <w:lvlJc w:val="left"/>
      <w:lvlText w:val="(%1)"/>
      <w:numFmt w:val="lowerLetter"/>
      <w:start w:val="3"/>
    </w:lvl>
  </w:abstractNum>
  <w:abstractNum w:abstractNumId="18">
    <w:nsid w:val="579BE4F1"/>
    <w:multiLevelType w:val="hybridMultilevel"/>
    <w:lvl w:ilvl="0">
      <w:lvlJc w:val="left"/>
      <w:lvlText w:val="(%1)"/>
      <w:numFmt w:val="decimal"/>
      <w:start w:val="1"/>
    </w:lvl>
    <w:lvl w:ilvl="1">
      <w:lvlJc w:val="left"/>
      <w:lvlText w:val="☐"/>
      <w:numFmt w:val="bullet"/>
      <w:start w:val="1"/>
    </w:lvl>
  </w:abstractNum>
  <w:abstractNum w:abstractNumId="19">
    <w:nsid w:val="310C50B3"/>
    <w:multiLevelType w:val="hybridMultilevel"/>
    <w:lvl w:ilvl="0">
      <w:lvlJc w:val="left"/>
      <w:lvlText w:val="%1."/>
      <w:numFmt w:val="decimal"/>
      <w:start w:val="1"/>
    </w:lvl>
    <w:lvl w:ilvl="1">
      <w:lvlJc w:val="left"/>
      <w:lvlText w:val="(%2)"/>
      <w:numFmt w:val="lowerLetter"/>
      <w:start w:val="1"/>
    </w:lvl>
  </w:abstractNum>
  <w:abstractNum w:abstractNumId="20">
    <w:nsid w:val="5FF87E05"/>
    <w:multiLevelType w:val="hybridMultilevel"/>
    <w:lvl w:ilvl="0">
      <w:lvlJc w:val="left"/>
      <w:lvlText w:val="(%1)"/>
      <w:numFmt w:val="lowerLetter"/>
      <w:start w:val="2"/>
    </w:lvl>
  </w:abstractNum>
  <w:abstractNum w:abstractNumId="21">
    <w:nsid w:val="2F305DEF"/>
    <w:multiLevelType w:val="hybridMultilevel"/>
    <w:lvl w:ilvl="0">
      <w:lvlJc w:val="left"/>
      <w:lvlText w:val="%1"/>
      <w:numFmt w:val="decimal"/>
      <w:start w:val="1"/>
    </w:lvl>
    <w:lvl w:ilvl="1">
      <w:lvlJc w:val="left"/>
      <w:lvlText w:val="(%2)"/>
      <w:numFmt w:val="lowerLetter"/>
      <w:start w:val="4"/>
    </w:lvl>
  </w:abstractNum>
  <w:abstractNum w:abstractNumId="22">
    <w:nsid w:val="25A70BF7"/>
    <w:multiLevelType w:val="hybridMultilevel"/>
    <w:lvl w:ilvl="0">
      <w:lvlJc w:val="left"/>
      <w:lvlText w:val="(%1)"/>
      <w:numFmt w:val="decimal"/>
      <w:start w:val="1"/>
    </w:lvl>
    <w:lvl w:ilvl="1">
      <w:lvlJc w:val="left"/>
      <w:lvlText w:val="%2"/>
      <w:numFmt w:val="lowerLetter"/>
      <w:start w:val="1"/>
    </w:lvl>
  </w:abstractNum>
  <w:abstractNum w:abstractNumId="23">
    <w:nsid w:val="1DBABF00"/>
    <w:multiLevelType w:val="hybridMultilevel"/>
    <w:lvl w:ilvl="0">
      <w:lvlJc w:val="left"/>
      <w:lvlText w:val="(%1)"/>
      <w:numFmt w:val="lowerLetter"/>
      <w:start w:val="5"/>
    </w:lvl>
    <w:lvl w:ilvl="1">
      <w:lvlJc w:val="left"/>
      <w:lvlText w:val="(%2)"/>
      <w:numFmt w:val="decimal"/>
      <w:start w:val="1"/>
    </w:lvl>
  </w:abstractNum>
  <w:abstractNum w:abstractNumId="24">
    <w:nsid w:val="4AD084E9"/>
    <w:multiLevelType w:val="hybridMultilevel"/>
    <w:lvl w:ilvl="0">
      <w:lvlJc w:val="left"/>
      <w:lvlText w:val="%1"/>
      <w:numFmt w:val="lowerLetter"/>
      <w:start w:val="1"/>
    </w:lvl>
    <w:lvl w:ilvl="1">
      <w:lvlJc w:val="left"/>
      <w:lvlText w:val="(%2)"/>
      <w:numFmt w:val="decimal"/>
      <w:start w:val="2"/>
    </w:lvl>
  </w:abstractNum>
  <w:abstractNum w:abstractNumId="25">
    <w:nsid w:val="1F48EAA1"/>
    <w:multiLevelType w:val="hybridMultilevel"/>
    <w:lvl w:ilvl="0">
      <w:lvlJc w:val="left"/>
      <w:lvlText w:val="(%1)"/>
      <w:numFmt w:val="lowerLetter"/>
      <w:start w:val="24"/>
    </w:lvl>
    <w:lvl w:ilvl="1">
      <w:lvlJc w:val="left"/>
      <w:lvlText w:val="%2"/>
      <w:numFmt w:val="decimal"/>
      <w:start w:val="1"/>
    </w:lvl>
  </w:abstractNum>
  <w:abstractNum w:abstractNumId="26">
    <w:nsid w:val="1381823A"/>
    <w:multiLevelType w:val="hybridMultilevel"/>
    <w:lvl w:ilvl="0">
      <w:lvlJc w:val="left"/>
      <w:lvlText w:val="(%1)"/>
      <w:numFmt w:val="lowerLetter"/>
      <w:start w:val="26"/>
    </w:lvl>
    <w:lvl w:ilvl="1">
      <w:lvlJc w:val="left"/>
      <w:lvlText w:val="(%2)"/>
      <w:numFmt w:val="decimal"/>
      <w:start w:val="3"/>
    </w:lvl>
  </w:abstractNum>
  <w:abstractNum w:abstractNumId="27">
    <w:nsid w:val="5DB70AE5"/>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28">
    <w:nsid w:val="100F8FCA"/>
    <w:multiLevelType w:val="hybridMultilevel"/>
    <w:lvl w:ilvl="0">
      <w:lvlJc w:val="left"/>
      <w:lvlText w:val="(%1)"/>
      <w:numFmt w:val="decimal"/>
      <w:start w:val="90"/>
    </w:lvl>
    <w:lvl w:ilvl="1">
      <w:lvlJc w:val="left"/>
      <w:lvlText w:val="%2."/>
      <w:numFmt w:val="decimal"/>
      <w:start w:val="2"/>
    </w:lvl>
    <w:lvl w:ilvl="2">
      <w:lvlJc w:val="left"/>
      <w:lvlText w:val="(%3)"/>
      <w:numFmt w:val="lowerLetter"/>
      <w:start w:val="1"/>
    </w:lvl>
  </w:abstractNum>
  <w:abstractNum w:abstractNumId="29">
    <w:nsid w:val="6590700B"/>
    <w:multiLevelType w:val="hybridMultilevel"/>
    <w:lvl w:ilvl="0">
      <w:lvlJc w:val="left"/>
      <w:lvlText w:val="%1."/>
      <w:numFmt w:val="decimal"/>
      <w:start w:val="3"/>
    </w:lvl>
    <w:lvl w:ilvl="1">
      <w:lvlJc w:val="left"/>
      <w:lvlText w:val="(%2)"/>
      <w:numFmt w:val="lowerLetter"/>
      <w:start w:val="1"/>
    </w:lvl>
  </w:abstractNum>
  <w:abstractNum w:abstractNumId="30">
    <w:nsid w:val="15014ACB"/>
    <w:multiLevelType w:val="hybridMultilevel"/>
    <w:lvl w:ilvl="0">
      <w:lvlJc w:val="left"/>
      <w:lvlText w:val="%1."/>
      <w:numFmt w:val="decimal"/>
      <w:start w:val="5"/>
    </w:lvl>
  </w:abstractNum>
  <w:abstractNum w:abstractNumId="31">
    <w:nsid w:val="5F5E7FD0"/>
    <w:multiLevelType w:val="hybridMultilevel"/>
    <w:lvl w:ilvl="0">
      <w:lvlJc w:val="left"/>
      <w:lvlText w:val="%1."/>
      <w:numFmt w:val="decimal"/>
      <w:start w:val="7"/>
    </w:lvl>
    <w:lvl w:ilvl="1">
      <w:lvlJc w:val="left"/>
      <w:lvlText w:val="(%2)"/>
      <w:numFmt w:val="lowerLetter"/>
      <w:start w:val="1"/>
    </w:lvl>
  </w:abstractNum>
  <w:abstractNum w:abstractNumId="32">
    <w:nsid w:val="98A3148"/>
    <w:multiLevelType w:val="hybridMultilevel"/>
    <w:lvl w:ilvl="0">
      <w:lvlJc w:val="left"/>
      <w:lvlText w:val="%1"/>
      <w:numFmt w:val="decimal"/>
      <w:start w:val="1"/>
    </w:lvl>
    <w:lvl w:ilvl="1">
      <w:lvlJc w:val="left"/>
      <w:lvlText w:val="(%2)"/>
      <w:numFmt w:val="lowerLetter"/>
      <w:start w:val="9"/>
    </w:lvl>
  </w:abstractNum>
  <w:abstractNum w:abstractNumId="33">
    <w:nsid w:val="799D0247"/>
    <w:multiLevelType w:val="hybridMultilevel"/>
    <w:lvl w:ilvl="0">
      <w:lvlJc w:val="left"/>
      <w:lvlText w:val="(%1)"/>
      <w:numFmt w:val="lowerRoman"/>
      <w:start w:val="2"/>
    </w:lvl>
  </w:abstractNum>
  <w:abstractNum w:abstractNumId="34">
    <w:nsid w:val="6B94764"/>
    <w:multiLevelType w:val="hybridMultilevel"/>
    <w:lvl w:ilvl="0">
      <w:lvlJc w:val="left"/>
      <w:lvlText w:val="(%1)"/>
      <w:numFmt w:val="lowerRoman"/>
      <w:start w:val="1"/>
    </w:lvl>
    <w:lvl w:ilvl="1">
      <w:lvlJc w:val="left"/>
      <w:lvlText w:val="%2."/>
      <w:numFmt w:val="decimal"/>
      <w:start w:val="9"/>
    </w:lvl>
  </w:abstractNum>
  <w:abstractNum w:abstractNumId="35">
    <w:nsid w:val="42C296BD"/>
    <w:multiLevelType w:val="hybridMultilevel"/>
    <w:lvl w:ilvl="0">
      <w:lvlJc w:val="left"/>
      <w:lvlText w:val="%1."/>
      <w:numFmt w:val="decimal"/>
      <w:start w:val="12"/>
    </w:lvl>
    <w:lvl w:ilvl="1">
      <w:lvlJc w:val="left"/>
      <w:lvlText w:val="(%2)"/>
      <w:numFmt w:val="lowerLetter"/>
      <w:start w:val="1"/>
    </w:lvl>
  </w:abstractNum>
  <w:abstractNum w:abstractNumId="36">
    <w:nsid w:val="168E121F"/>
    <w:multiLevelType w:val="hybridMultilevel"/>
    <w:lvl w:ilvl="0">
      <w:lvlJc w:val="left"/>
      <w:lvlText w:val="%1"/>
      <w:numFmt w:val="lowerLetter"/>
      <w:start w:val="1"/>
    </w:lvl>
    <w:lvl w:ilvl="1">
      <w:lvlJc w:val="left"/>
      <w:lvlText w:val="(%2)"/>
      <w:numFmt w:val="lowerLetter"/>
      <w:start w:val="3"/>
    </w:lvl>
  </w:abstractNum>
  <w:abstractNum w:abstractNumId="37">
    <w:nsid w:val="1EBA5D23"/>
    <w:multiLevelType w:val="hybridMultilevel"/>
    <w:lvl w:ilvl="0">
      <w:lvlJc w:val="left"/>
      <w:lvlText w:val="(%1)"/>
      <w:numFmt w:val="lowerLetter"/>
      <w:start w:val="35"/>
    </w:lvl>
    <w:lvl w:ilvl="1">
      <w:lvlJc w:val="left"/>
      <w:lvlText w:val="%2"/>
      <w:numFmt w:val="lowerLetter"/>
      <w:start w:val="1"/>
    </w:lvl>
  </w:abstractNum>
  <w:abstractNum w:abstractNumId="38">
    <w:nsid w:val="661E3F1E"/>
    <w:multiLevelType w:val="hybridMultilevel"/>
    <w:lvl w:ilvl="0">
      <w:lvlJc w:val="left"/>
      <w:lvlText w:val="(%1)"/>
      <w:numFmt w:val="lowerLetter"/>
      <w:start w:val="25"/>
    </w:lvl>
    <w:lvl w:ilvl="1">
      <w:lvlJc w:val="left"/>
      <w:lvlText w:val="(%2)"/>
      <w:numFmt w:val="lowerLetter"/>
      <w:start w:val="5"/>
    </w:lvl>
  </w:abstractNum>
  <w:abstractNum w:abstractNumId="39">
    <w:nsid w:val="5DC79EA8"/>
    <w:multiLevelType w:val="hybridMultilevel"/>
    <w:lvl w:ilvl="0">
      <w:lvlJc w:val="left"/>
      <w:lvlText w:val="%1"/>
      <w:numFmt w:val="lowerRoman"/>
      <w:start w:val="1"/>
    </w:lvl>
    <w:lvl w:ilvl="1">
      <w:lvlJc w:val="left"/>
      <w:lvlText w:val="(%2)"/>
      <w:numFmt w:val="lowerLetter"/>
      <w:start w:val="11"/>
    </w:lvl>
  </w:abstractNum>
  <w:abstractNum w:abstractNumId="40">
    <w:nsid w:val="540A471C"/>
    <w:multiLevelType w:val="hybridMultilevel"/>
    <w:lvl w:ilvl="0">
      <w:lvlJc w:val="left"/>
      <w:lvlText w:val="(%1)"/>
      <w:numFmt w:val="lowerRoman"/>
      <w:start w:val="4"/>
    </w:lvl>
    <w:lvl w:ilvl="1">
      <w:lvlJc w:val="left"/>
      <w:lvlText w:val="%2"/>
      <w:numFmt w:val="lowerLetter"/>
      <w:start w:val="1"/>
    </w:lvl>
  </w:abstractNum>
  <w:abstractNum w:abstractNumId="41">
    <w:nsid w:val="7BD3EE7B"/>
    <w:multiLevelType w:val="hybridMultilevel"/>
    <w:lvl w:ilvl="0">
      <w:lvlJc w:val="left"/>
      <w:lvlText w:val="(%1)"/>
      <w:numFmt w:val="lowerRoman"/>
      <w:start w:val="10"/>
    </w:lvl>
    <w:lvl w:ilvl="1">
      <w:lvlJc w:val="left"/>
      <w:lvlText w:val="(%2)"/>
      <w:numFmt w:val="lowerLetter"/>
      <w:start w:val="12"/>
    </w:lvl>
  </w:abstractNum>
  <w:abstractNum w:abstractNumId="42">
    <w:nsid w:val="51D9C564"/>
    <w:multiLevelType w:val="hybridMultilevel"/>
    <w:lvl w:ilvl="0">
      <w:lvlJc w:val="left"/>
      <w:lvlText w:val="(%1)"/>
      <w:numFmt w:val="lowerLetter"/>
      <w:start w:val="15"/>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1."/>
      <w:numFmt w:val="decimal"/>
      <w:start w:val="1"/>
    </w:lvl>
    <w:lvl w:ilvl="1">
      <w:lvlJc w:val="left"/>
      <w:lvlText w:val="(%2)"/>
      <w:numFmt w:val="lowerLetter"/>
      <w:start w:val="1"/>
    </w:lvl>
  </w:abstractNum>
  <w:abstractNum w:abstractNumId="45">
    <w:nsid w:val="11447B73"/>
    <w:multiLevelType w:val="hybridMultilevel"/>
    <w:lvl w:ilvl="0">
      <w:lvlJc w:val="left"/>
      <w:lvlText w:val="(%1)"/>
      <w:numFmt w:val="lowerLetter"/>
      <w:start w:val="2"/>
    </w:lvl>
  </w:abstractNum>
  <w:abstractNum w:abstractNumId="46">
    <w:nsid w:val="42963E5A"/>
    <w:multiLevelType w:val="hybridMultilevel"/>
    <w:lvl w:ilvl="0">
      <w:lvlJc w:val="left"/>
      <w:lvlText w:val="%1"/>
      <w:numFmt w:val="decimal"/>
      <w:start w:val="1"/>
    </w:lvl>
    <w:lvl w:ilvl="1">
      <w:lvlJc w:val="left"/>
      <w:lvlText w:val="(%2)"/>
      <w:numFmt w:val="lowerLetter"/>
      <w:start w:val="4"/>
    </w:lvl>
  </w:abstractNum>
  <w:abstractNum w:abstractNumId="47">
    <w:nsid w:val="A0382C5"/>
    <w:multiLevelType w:val="hybridMultilevel"/>
    <w:lvl w:ilvl="0">
      <w:lvlJc w:val="left"/>
      <w:lvlText w:val="(%1)"/>
      <w:numFmt w:val="decimal"/>
      <w:start w:val="1"/>
    </w:lvl>
    <w:lvl w:ilvl="1">
      <w:lvlJc w:val="left"/>
      <w:lvlText w:val="%2"/>
      <w:numFmt w:val="lowerLetter"/>
      <w:start w:val="1"/>
    </w:lvl>
  </w:abstractNum>
  <w:abstractNum w:abstractNumId="48">
    <w:nsid w:val="8F2B15E"/>
    <w:multiLevelType w:val="hybridMultilevel"/>
    <w:lvl w:ilvl="0">
      <w:lvlJc w:val="left"/>
      <w:lvlText w:val="(%1)"/>
      <w:numFmt w:val="lowerLetter"/>
      <w:start w:val="5"/>
    </w:lvl>
    <w:lvl w:ilvl="1">
      <w:lvlJc w:val="left"/>
      <w:lvlText w:val="(%2)"/>
      <w:numFmt w:val="decimal"/>
      <w:start w:val="1"/>
    </w:lvl>
  </w:abstractNum>
  <w:abstractNum w:abstractNumId="49">
    <w:nsid w:val="1A32234B"/>
    <w:multiLevelType w:val="hybridMultilevel"/>
    <w:lvl w:ilvl="0">
      <w:lvlJc w:val="left"/>
      <w:lvlText w:val="%1"/>
      <w:numFmt w:val="lowerLetter"/>
      <w:start w:val="1"/>
    </w:lvl>
    <w:lvl w:ilvl="1">
      <w:lvlJc w:val="left"/>
      <w:lvlText w:val="(%2)"/>
      <w:numFmt w:val="decimal"/>
      <w:start w:val="2"/>
    </w:lvl>
  </w:abstractNum>
  <w:abstractNum w:abstractNumId="50">
    <w:nsid w:val="3B0FD379"/>
    <w:multiLevelType w:val="hybridMultilevel"/>
    <w:lvl w:ilvl="0">
      <w:lvlJc w:val="left"/>
      <w:lvlText w:val="(%1)"/>
      <w:numFmt w:val="lowerLetter"/>
      <w:start w:val="24"/>
    </w:lvl>
    <w:lvl w:ilvl="1">
      <w:lvlJc w:val="left"/>
      <w:lvlText w:val="%2"/>
      <w:numFmt w:val="decimal"/>
      <w:start w:val="1"/>
    </w:lvl>
  </w:abstractNum>
  <w:abstractNum w:abstractNumId="51">
    <w:nsid w:val="68EB2F63"/>
    <w:multiLevelType w:val="hybridMultilevel"/>
    <w:lvl w:ilvl="0">
      <w:lvlJc w:val="left"/>
      <w:lvlText w:val="(%1)"/>
      <w:numFmt w:val="lowerLetter"/>
      <w:start w:val="26"/>
    </w:lvl>
    <w:lvl w:ilvl="1">
      <w:lvlJc w:val="left"/>
      <w:lvlText w:val="(%2)"/>
      <w:numFmt w:val="decimal"/>
      <w:start w:val="3"/>
    </w:lvl>
  </w:abstractNum>
  <w:abstractNum w:abstractNumId="52">
    <w:nsid w:val="496281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53">
    <w:nsid w:val="60B6DF70"/>
    <w:multiLevelType w:val="hybridMultilevel"/>
    <w:lvl w:ilvl="0">
      <w:lvlJc w:val="left"/>
      <w:lvlText w:val="(%1)"/>
      <w:numFmt w:val="decimal"/>
      <w:start w:val="90"/>
    </w:lvl>
    <w:lvl w:ilvl="1">
      <w:lvlJc w:val="left"/>
      <w:lvlText w:val="%2."/>
      <w:numFmt w:val="decimal"/>
      <w:start w:val="2"/>
    </w:lvl>
    <w:lvl w:ilvl="2">
      <w:lvlJc w:val="left"/>
      <w:lvlText w:val="(%3)"/>
      <w:numFmt w:val="lowerLetter"/>
      <w:start w:val="1"/>
    </w:lvl>
  </w:abstractNum>
  <w:abstractNum w:abstractNumId="54">
    <w:nsid w:val="6A5EE64"/>
    <w:multiLevelType w:val="hybridMultilevel"/>
    <w:lvl w:ilvl="0">
      <w:lvlJc w:val="left"/>
      <w:lvlText w:val="%1."/>
      <w:numFmt w:val="decimal"/>
      <w:start w:val="3"/>
    </w:lvl>
    <w:lvl w:ilvl="1">
      <w:lvlJc w:val="left"/>
      <w:lvlText w:val="(%2)"/>
      <w:numFmt w:val="lowerLetter"/>
      <w:start w:val="1"/>
    </w:lvl>
  </w:abstractNum>
  <w:abstractNum w:abstractNumId="55">
    <w:nsid w:val="14330624"/>
    <w:multiLevelType w:val="hybridMultilevel"/>
    <w:lvl w:ilvl="0">
      <w:lvlJc w:val="left"/>
      <w:lvlText w:val="(%1)"/>
      <w:numFmt w:val="upperLetter"/>
      <w:start w:val="5"/>
    </w:lvl>
  </w:abstractNum>
  <w:abstractNum w:abstractNumId="56">
    <w:nsid w:val="7FFFCA11"/>
    <w:multiLevelType w:val="hybridMultilevel"/>
    <w:lvl w:ilvl="0">
      <w:lvlJc w:val="left"/>
      <w:lvlText w:val="%1."/>
      <w:numFmt w:val="decimal"/>
      <w:start w:val="5"/>
    </w:lvl>
    <w:lvl w:ilvl="1">
      <w:lvlJc w:val="left"/>
      <w:lvlText w:val="(%2)"/>
      <w:numFmt w:val="lowerLetter"/>
      <w:start w:val="1"/>
    </w:lvl>
  </w:abstractNum>
  <w:abstractNum w:abstractNumId="57">
    <w:nsid w:val="1A27709E"/>
    <w:multiLevelType w:val="hybridMultilevel"/>
    <w:lvl w:ilvl="0">
      <w:lvlJc w:val="left"/>
      <w:lvlText w:val="%1."/>
      <w:numFmt w:val="decimal"/>
      <w:start w:val="8"/>
    </w:lvl>
    <w:lvl w:ilvl="1">
      <w:lvlJc w:val="left"/>
      <w:lvlText w:val="(%2)"/>
      <w:numFmt w:val="lowerRoman"/>
      <w:start w:val="1"/>
    </w:lvl>
  </w:abstractNum>
  <w:abstractNum w:abstractNumId="58">
    <w:nsid w:val="71EA1109"/>
    <w:multiLevelType w:val="hybridMultilevel"/>
    <w:lvl w:ilvl="0">
      <w:lvlJc w:val="left"/>
      <w:lvlText w:val="(%1)"/>
      <w:numFmt w:val="lowerRoman"/>
      <w:start w:val="1"/>
    </w:lvl>
    <w:lvl w:ilvl="1">
      <w:lvlJc w:val="left"/>
      <w:lvlText w:val="%2."/>
      <w:numFmt w:val="decimal"/>
      <w:start w:val="9"/>
    </w:lvl>
  </w:abstractNum>
  <w:abstractNum w:abstractNumId="59">
    <w:nsid w:val="100F59DC"/>
    <w:multiLevelType w:val="hybridMultilevel"/>
    <w:lvl w:ilvl="0">
      <w:lvlJc w:val="left"/>
      <w:lvlText w:val="%1"/>
      <w:numFmt w:val="decimal"/>
      <w:start w:val="1"/>
    </w:lvl>
    <w:lvl w:ilvl="1">
      <w:lvlJc w:val="left"/>
      <w:lvlText w:val="%2."/>
      <w:numFmt w:val="decimal"/>
      <w:start w:val="11"/>
    </w:lvl>
  </w:abstractNum>
  <w:abstractNum w:abstractNumId="60">
    <w:nsid w:val="7FB7E0AA"/>
    <w:multiLevelType w:val="hybridMultilevel"/>
    <w:lvl w:ilvl="0">
      <w:lvlJc w:val="left"/>
      <w:lvlText w:val="(%1)"/>
      <w:numFmt w:val="decimal"/>
      <w:start w:val="2"/>
    </w:lvl>
    <w:lvl w:ilvl="1">
      <w:lvlJc w:val="left"/>
      <w:lvlText w:val="%2"/>
      <w:numFmt w:val="decimal"/>
      <w:start w:val="1"/>
    </w:lvl>
  </w:abstractNum>
  <w:abstractNum w:abstractNumId="61">
    <w:nsid w:val="6EB5BD4"/>
    <w:multiLevelType w:val="hybridMultilevel"/>
    <w:lvl w:ilvl="0">
      <w:lvlJc w:val="left"/>
      <w:lvlText w:val="(%1)"/>
      <w:numFmt w:val="decimal"/>
      <w:start w:val="2"/>
    </w:lvl>
    <w:lvl w:ilvl="1">
      <w:lvlJc w:val="left"/>
      <w:lvlText w:val="%2."/>
      <w:numFmt w:val="decimal"/>
      <w:start w:val="12"/>
    </w:lvl>
  </w:abstractNum>
  <w:abstractNum w:abstractNumId="62">
    <w:nsid w:val="6F6DD9AC"/>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63">
    <w:nsid w:val="94211F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4">
    <w:nsid w:val="885E1B"/>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5"/>
    </w:lvl>
  </w:abstractNum>
  <w:abstractNum w:abstractNumId="65">
    <w:nsid w:val="76272110"/>
    <w:multiLevelType w:val="hybridMultilevel"/>
    <w:lvl w:ilvl="0">
      <w:lvlJc w:val="left"/>
      <w:lvlText w:val="%1"/>
      <w:numFmt w:val="lowerRoman"/>
      <w:start w:val="1"/>
    </w:lvl>
    <w:lvl w:ilvl="1">
      <w:lvlJc w:val="left"/>
      <w:lvlText w:val="(%2)"/>
      <w:numFmt w:val="lowerLetter"/>
      <w:start w:val="6"/>
    </w:lvl>
  </w:abstractNum>
  <w:abstractNum w:abstractNumId="66">
    <w:nsid w:val="4C04A8AF"/>
    <w:multiLevelType w:val="hybridMultilevel"/>
    <w:lvl w:ilvl="0">
      <w:lvlJc w:val="left"/>
      <w:lvlText w:val="(%1)"/>
      <w:numFmt w:val="lowerRoman"/>
      <w:start w:val="4"/>
    </w:lvl>
    <w:lvl w:ilvl="1">
      <w:lvlJc w:val="left"/>
      <w:lvlText w:val="%2"/>
      <w:numFmt w:val="lowerLetter"/>
      <w:start w:val="1"/>
    </w:lvl>
  </w:abstractNum>
  <w:abstractNum w:abstractNumId="67">
    <w:nsid w:val="1716703B"/>
    <w:multiLevelType w:val="hybridMultilevel"/>
    <w:lvl w:ilvl="0">
      <w:lvlJc w:val="left"/>
      <w:lvlText w:val="(%1)"/>
      <w:numFmt w:val="lowerRoman"/>
      <w:start w:val="10"/>
    </w:lvl>
    <w:lvl w:ilvl="1">
      <w:lvlJc w:val="left"/>
      <w:lvlText w:val="%2"/>
      <w:numFmt w:val="lowerLetter"/>
      <w:start w:val="1"/>
    </w:lvl>
  </w:abstractNum>
  <w:abstractNum w:abstractNumId="68">
    <w:nsid w:val="14E17E33"/>
    <w:multiLevelType w:val="hybridMultilevel"/>
    <w:lvl w:ilvl="0">
      <w:lvlJc w:val="left"/>
      <w:lvlText w:val="(%1)"/>
      <w:numFmt w:val="lowerLetter"/>
      <w:start w:val="12"/>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lowerLetter"/>
      <w:start w:val="1"/>
    </w:lvl>
  </w:abstractNum>
  <w:abstractNum w:abstractNumId="71">
    <w:nsid w:val="68EBC550"/>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72">
    <w:nsid w:val="2DF6D648"/>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73">
    <w:nsid w:val="46B7D447"/>
    <w:multiLevelType w:val="hybridMultilevel"/>
    <w:lvl w:ilvl="0">
      <w:lvlJc w:val="left"/>
      <w:lvlText w:val="%1."/>
      <w:numFmt w:val="upperLetter"/>
      <w:start w:val="6"/>
    </w:lvl>
  </w:abstractNum>
  <w:abstractNum w:abstractNumId="74">
    <w:nsid w:val="4A2AC315"/>
    <w:multiLevelType w:val="hybridMultilevel"/>
    <w:lvl w:ilvl="0">
      <w:lvlJc w:val="left"/>
      <w:lvlText w:val="%1"/>
      <w:numFmt w:val="lowerLetter"/>
      <w:start w:val="1"/>
    </w:lvl>
    <w:lvl w:ilvl="1">
      <w:lvlJc w:val="left"/>
      <w:lvlText w:val="(%2)"/>
      <w:numFmt w:val="lowerLetter"/>
      <w:start w:val="9"/>
    </w:lvl>
  </w:abstractNum>
  <w:abstractNum w:abstractNumId="75">
    <w:nsid w:val="39EE015C"/>
    <w:multiLevelType w:val="hybridMultilevel"/>
    <w:lvl w:ilvl="0">
      <w:lvlJc w:val="left"/>
      <w:lvlText w:val="(%1)"/>
      <w:numFmt w:val="lowerLetter"/>
      <w:start w:val="14"/>
    </w:lvl>
    <w:lvl w:ilvl="1">
      <w:lvlJc w:val="left"/>
      <w:lvlText w:val="%2"/>
      <w:numFmt w:val="lowerLetter"/>
      <w:start w:val="1"/>
    </w:lvl>
  </w:abstractNum>
  <w:abstractNum w:abstractNumId="76">
    <w:nsid w:val="57FC4FBB"/>
    <w:multiLevelType w:val="hybridMultilevel"/>
    <w:lvl w:ilvl="0">
      <w:lvlJc w:val="left"/>
      <w:lvlText w:val="(%1)"/>
      <w:numFmt w:val="lowerLetter"/>
      <w:start w:val="26"/>
    </w:lvl>
  </w:abstractNum>
  <w:abstractNum w:abstractNumId="77">
    <w:nsid w:val="CC1016F"/>
    <w:multiLevelType w:val="hybridMultilevel"/>
    <w:lvl w:ilvl="0">
      <w:lvlJc w:val="left"/>
      <w:lvlText w:val="(%1)"/>
      <w:numFmt w:val="lowerLetter"/>
      <w:start w:val="27"/>
    </w:lvl>
  </w:abstractNum>
  <w:abstractNum w:abstractNumId="78">
    <w:nsid w:val="43F18422"/>
    <w:multiLevelType w:val="hybridMultilevel"/>
    <w:lvl w:ilvl="0">
      <w:lvlJc w:val="left"/>
      <w:lvlText w:val="(%1)"/>
      <w:numFmt w:val="lowerLetter"/>
      <w:start w:val="1"/>
    </w:lvl>
    <w:lvl w:ilvl="1">
      <w:lvlJc w:val="left"/>
      <w:lvlText w:val="(%2)"/>
      <w:numFmt w:val="lowerRoman"/>
      <w:start w:val="1"/>
    </w:lvl>
  </w:abstractNum>
  <w:abstractNum w:abstractNumId="79">
    <w:nsid w:val="60EF0119"/>
    <w:multiLevelType w:val="hybridMultilevel"/>
    <w:lvl w:ilvl="0">
      <w:lvlJc w:val="left"/>
      <w:lvlText w:val="%1"/>
      <w:numFmt w:val="lowerLetter"/>
      <w:start w:val="1"/>
    </w:lvl>
    <w:lvl w:ilvl="1">
      <w:lvlJc w:val="left"/>
      <w:lvlText w:val="(%2)"/>
      <w:numFmt w:val="lowerRoman"/>
      <w:start w:val="5"/>
    </w:lvl>
  </w:abstractNum>
  <w:abstractNum w:abstractNumId="80">
    <w:nsid w:val="26F324BA"/>
    <w:multiLevelType w:val="hybridMultilevel"/>
    <w:lvl w:ilvl="0">
      <w:lvlJc w:val="left"/>
      <w:lvlText w:val="(%1)"/>
      <w:numFmt w:val="lowerLetter"/>
      <w:start w:val="3"/>
    </w:lvl>
    <w:lvl w:ilvl="1">
      <w:lvlJc w:val="left"/>
      <w:lvlText w:val="(%2)"/>
      <w:numFmt w:val="lowerRoman"/>
      <w:start w:val="1"/>
    </w:lvl>
  </w:abstractNum>
  <w:abstractNum w:abstractNumId="81">
    <w:nsid w:val="7F01579B"/>
    <w:multiLevelType w:val="hybridMultilevel"/>
    <w:lvl w:ilvl="0">
      <w:lvlJc w:val="left"/>
      <w:lvlText w:val="%1"/>
      <w:numFmt w:val="lowerLetter"/>
      <w:start w:val="1"/>
    </w:lvl>
    <w:lvl w:ilvl="1">
      <w:lvlJc w:val="left"/>
      <w:lvlText w:val="(%2)"/>
      <w:numFmt w:val="lowerLetter"/>
      <w:start w:val="1"/>
    </w:lvl>
  </w:abstractNum>
  <w:abstractNum w:abstractNumId="82">
    <w:nsid w:val="49DA307D"/>
    <w:multiLevelType w:val="hybridMultilevel"/>
    <w:lvl w:ilvl="0">
      <w:lvlJc w:val="left"/>
      <w:lvlText w:val="(%1)"/>
      <w:numFmt w:val="lowerLetter"/>
      <w:start w:val="35"/>
    </w:lvl>
    <w:lvl w:ilvl="1">
      <w:lvlJc w:val="left"/>
      <w:lvlText w:val="(%2)"/>
      <w:numFmt w:val="lowerLetter"/>
      <w:start w:val="2"/>
    </w:lvl>
  </w:abstractNum>
  <w:abstractNum w:abstractNumId="83">
    <w:nsid w:val="7055A5F5"/>
    <w:multiLevelType w:val="hybridMultilevel"/>
    <w:lvl w:ilvl="0">
      <w:lvlJc w:val="left"/>
      <w:lvlText w:val="(%1)"/>
      <w:numFmt w:val="lowerLetter"/>
      <w:start w:val="3"/>
    </w:lvl>
  </w:abstractNum>
  <w:abstractNum w:abstractNumId="84">
    <w:nsid w:val="5FB8370B"/>
    <w:multiLevelType w:val="hybridMultilevel"/>
    <w:lvl w:ilvl="0">
      <w:lvlJc w:val="left"/>
      <w:lvlText w:val="(%1)"/>
      <w:numFmt w:val="lowerLetter"/>
      <w:start w:val="1"/>
    </w:lvl>
  </w:abstractNum>
  <w:abstractNum w:abstractNumId="85">
    <w:nsid w:val="50801EE1"/>
    <w:multiLevelType w:val="hybridMultilevel"/>
    <w:lvl w:ilvl="0">
      <w:lvlJc w:val="left"/>
      <w:lvlText w:val="(%1)"/>
      <w:numFmt w:val="lowerLetter"/>
      <w:start w:val="1"/>
    </w:lvl>
  </w:abstractNum>
  <w:abstractNum w:abstractNumId="86">
    <w:nsid w:val="488AC1A"/>
    <w:multiLevelType w:val="hybridMultilevel"/>
    <w:lvl w:ilvl="0">
      <w:lvlJc w:val="left"/>
      <w:lvlText w:val="(%1)"/>
      <w:numFmt w:val="lowerRoman"/>
      <w:start w:val="10"/>
    </w:lvl>
  </w:abstractNum>
  <w:abstractNum w:abstractNumId="87">
    <w:nsid w:val="5FB8011C"/>
    <w:multiLevelType w:val="hybridMultilevel"/>
    <w:lvl w:ilvl="0">
      <w:lvlJc w:val="left"/>
      <w:lvlText w:val="%1"/>
      <w:numFmt w:val="decimal"/>
      <w:start w:val="1"/>
    </w:lvl>
    <w:lvl w:ilvl="1">
      <w:lvlJc w:val="left"/>
      <w:lvlText w:val="(%2)"/>
      <w:numFmt w:val="lowerLetter"/>
      <w:start w:val="1"/>
    </w:lvl>
  </w:abstractNum>
  <w:abstractNum w:abstractNumId="88">
    <w:nsid w:val="6AA78F7F"/>
    <w:multiLevelType w:val="hybridMultilevel"/>
    <w:lvl w:ilvl="0">
      <w:lvlJc w:val="left"/>
      <w:lvlText w:val="(%1)"/>
      <w:numFmt w:val="decimal"/>
      <w:start w:val="5"/>
    </w:lvl>
    <w:lvl w:ilvl="1">
      <w:lvlJc w:val="left"/>
      <w:lvlText w:val="%2"/>
      <w:numFmt w:val="lowerLetter"/>
      <w:start w:val="1"/>
    </w:lvl>
  </w:abstractNum>
  <w:abstractNum w:abstractNumId="89">
    <w:nsid w:val="7672BD23"/>
    <w:multiLevelType w:val="hybridMultilevel"/>
    <w:lvl w:ilvl="0">
      <w:lvlJc w:val="left"/>
      <w:lvlText w:val="(%1)"/>
      <w:numFmt w:val="lowerLetter"/>
      <w:start w:val="2"/>
    </w:lvl>
  </w:abstractNum>
  <w:abstractNum w:abstractNumId="90">
    <w:nsid w:val="6FC75AF8"/>
    <w:multiLevelType w:val="hybridMultilevel"/>
    <w:lvl w:ilvl="0">
      <w:lvlJc w:val="left"/>
      <w:lvlText w:val="(%1)"/>
      <w:numFmt w:val="decimal"/>
      <w:start w:val="6"/>
    </w:lvl>
    <w:lvl w:ilvl="1">
      <w:lvlJc w:val="left"/>
      <w:lvlText w:val="%2"/>
      <w:numFmt w:val="lowerLetter"/>
      <w:start w:val="1"/>
    </w:lvl>
  </w:abstractNum>
  <w:abstractNum w:abstractNumId="91">
    <w:nsid w:val="6A5F7029"/>
    <w:multiLevelType w:val="hybridMultilevel"/>
    <w:lvl w:ilvl="0">
      <w:lvlJc w:val="left"/>
      <w:lvlText w:val="(%1)"/>
      <w:numFmt w:val="decimal"/>
      <w:start w:val="12"/>
    </w:lvl>
    <w:lvl w:ilvl="1">
      <w:lvlJc w:val="left"/>
      <w:lvlText w:val="(%2)"/>
      <w:numFmt w:val="lowerLetter"/>
      <w:start w:val="5"/>
    </w:lvl>
  </w:abstractNum>
  <w:abstractNum w:abstractNumId="92">
    <w:nsid w:val="7D5E18F8"/>
    <w:multiLevelType w:val="hybridMultilevel"/>
    <w:lvl w:ilvl="0">
      <w:lvlJc w:val="left"/>
      <w:lvlText w:val="(%1)"/>
      <w:numFmt w:val="decimal"/>
      <w:start w:val="5"/>
    </w:lvl>
    <w:lvl w:ilvl="1">
      <w:lvlJc w:val="left"/>
      <w:lvlText w:val="(%2)"/>
      <w:numFmt w:val="lowerLetter"/>
      <w:start w:val="10"/>
    </w:lvl>
  </w:abstractNum>
  <w:abstractNum w:abstractNumId="93">
    <w:nsid w:val="5F3534A4"/>
    <w:multiLevelType w:val="hybridMultilevel"/>
    <w:lvl w:ilvl="0">
      <w:lvlJc w:val="left"/>
      <w:lvlText w:val="(%1)"/>
      <w:numFmt w:val="lowerRoman"/>
      <w:start w:val="1"/>
    </w:lvl>
  </w:abstractNum>
  <w:abstractNum w:abstractNumId="94">
    <w:nsid w:val="73A1821B"/>
    <w:multiLevelType w:val="hybridMultilevel"/>
    <w:lvl w:ilvl="0">
      <w:lvlJc w:val="left"/>
      <w:lvlText w:val="(%1)"/>
      <w:numFmt w:val="lowerLetter"/>
      <w:start w:val="1"/>
    </w:lvl>
  </w:abstractNum>
  <w:abstractNum w:abstractNumId="95">
    <w:nsid w:val="7DE67713"/>
    <w:multiLevelType w:val="hybridMultilevel"/>
    <w:lvl w:ilvl="0">
      <w:lvlJc w:val="left"/>
      <w:lvlText w:val="(%1)"/>
      <w:numFmt w:val="lowerLetter"/>
      <w:start w:val="2"/>
    </w:lvl>
  </w:abstractNum>
  <w:abstractNum w:abstractNumId="96">
    <w:nsid w:val="555C55B5"/>
    <w:multiLevelType w:val="hybridMultilevel"/>
    <w:lvl w:ilvl="0">
      <w:lvlJc w:val="left"/>
      <w:lvlText w:val="%1"/>
      <w:numFmt w:val="lowerLetter"/>
      <w:start w:val="1"/>
    </w:lvl>
    <w:lvl w:ilvl="1">
      <w:lvlJc w:val="left"/>
      <w:lvlText w:val="(%2)"/>
      <w:numFmt w:val="lowerLetter"/>
      <w:start w:val="4"/>
    </w:lvl>
  </w:abstractNum>
  <w:abstractNum w:abstractNumId="97">
    <w:nsid w:val="3FA62ACA"/>
    <w:multiLevelType w:val="hybridMultilevel"/>
    <w:lvl w:ilvl="0">
      <w:lvlJc w:val="left"/>
      <w:lvlText w:val="(%1)"/>
      <w:numFmt w:val="lowerLetter"/>
      <w:start w:val="9"/>
    </w:lvl>
    <w:lvl w:ilvl="1">
      <w:lvlJc w:val="left"/>
      <w:lvlText w:val="%2"/>
      <w:numFmt w:val="lowerLetter"/>
      <w:start w:val="1"/>
    </w:lvl>
  </w:abstractNum>
  <w:abstractNum w:abstractNumId="98">
    <w:nsid w:val="14FCE74E"/>
    <w:multiLevelType w:val="hybridMultilevel"/>
    <w:lvl w:ilvl="0">
      <w:lvlJc w:val="left"/>
      <w:lvlText w:val="(%1)"/>
      <w:numFmt w:val="lowerLetter"/>
      <w:start w:val="3"/>
    </w:lvl>
    <w:lvl w:ilvl="1">
      <w:lvlJc w:val="left"/>
      <w:lvlText w:val="%2"/>
      <w:numFmt w:val="lowerLetter"/>
      <w:start w:val="1"/>
    </w:lvl>
  </w:abstractNum>
  <w:abstractNum w:abstractNumId="99">
    <w:nsid w:val="6A3DD3E8"/>
    <w:multiLevelType w:val="hybridMultilevel"/>
    <w:lvl w:ilvl="0">
      <w:lvlJc w:val="left"/>
      <w:lvlText w:val="(%1)"/>
      <w:numFmt w:val="upperLetter"/>
      <w:start w:val="5"/>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lowerRoman"/>
      <w:start w:val="1"/>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lowerLetter"/>
      <w:start w:val="2"/>
    </w:lvl>
  </w:abstractNum>
  <w:abstractNum w:abstractNumId="105">
    <w:nsid w:val="1D545C4D"/>
    <w:multiLevelType w:val="hybridMultilevel"/>
    <w:lvl w:ilvl="0">
      <w:lvlJc w:val="left"/>
      <w:lvlText w:val="%1"/>
      <w:numFmt w:val="lowerRoman"/>
      <w:start w:val="1"/>
    </w:lvl>
    <w:lvl w:ilvl="1">
      <w:lvlJc w:val="left"/>
      <w:lvlText w:val="(%2)"/>
      <w:numFmt w:val="lowerLetter"/>
      <w:start w:val="1"/>
    </w:lvl>
  </w:abstractNum>
  <w:abstractNum w:abstractNumId="106">
    <w:nsid w:val="59ADEA3D"/>
    <w:multiLevelType w:val="hybridMultilevel"/>
    <w:lvl w:ilvl="0">
      <w:lvlJc w:val="left"/>
      <w:lvlText w:val="(%1)"/>
      <w:numFmt w:val="lowerRoman"/>
      <w:start w:val="6"/>
    </w:lvl>
    <w:lvl w:ilvl="1">
      <w:lvlJc w:val="left"/>
      <w:lvlText w:val="(%2)"/>
      <w:numFmt w:val="lowerLetter"/>
      <w:start w:val="2"/>
    </w:lvl>
  </w:abstractNum>
  <w:abstractNum w:abstractNumId="107">
    <w:nsid w:val="288F1A3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2026-06-24T17:12:15Z</dcterms:created>
  <dcterms:modified xsi:type="dcterms:W3CDTF">2026-06-24T17:12:15Z</dcterms:modified>
</cp:coreProperties>
</file>